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宋体" w:eastAsia="黑体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黑体" w:hAnsi="宋体" w:eastAsia="黑体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黑体" w:hAnsi="宋体" w:eastAsia="黑体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黑体" w:hAnsi="宋体" w:eastAsia="黑体" w:cs="宋体"/>
          <w:color w:val="000000"/>
          <w:kern w:val="0"/>
          <w:sz w:val="28"/>
          <w:szCs w:val="28"/>
        </w:rPr>
      </w:pPr>
    </w:p>
    <w:p>
      <w:pPr>
        <w:jc w:val="both"/>
        <w:rPr>
          <w:rFonts w:hint="eastAsia" w:ascii="黑体" w:hAnsi="黑体" w:eastAsia="黑体"/>
          <w:color w:val="000000"/>
          <w:sz w:val="52"/>
          <w:szCs w:val="52"/>
        </w:rPr>
      </w:pPr>
    </w:p>
    <w:p>
      <w:pPr>
        <w:jc w:val="center"/>
        <w:rPr>
          <w:rFonts w:hint="eastAsia" w:ascii="黑体" w:hAnsi="黑体" w:eastAsia="黑体"/>
          <w:color w:val="000000"/>
          <w:sz w:val="52"/>
          <w:szCs w:val="52"/>
        </w:rPr>
      </w:pPr>
    </w:p>
    <w:p>
      <w:pPr>
        <w:jc w:val="center"/>
        <w:rPr>
          <w:rFonts w:hint="eastAsia" w:ascii="黑体" w:hAnsi="黑体" w:eastAsia="黑体"/>
          <w:color w:val="000000"/>
          <w:sz w:val="52"/>
          <w:szCs w:val="52"/>
          <w:lang w:eastAsia="zh-CN"/>
        </w:rPr>
      </w:pPr>
      <w:r>
        <w:rPr>
          <w:rFonts w:hint="eastAsia" w:ascii="黑体" w:hAnsi="黑体" w:eastAsia="黑体"/>
          <w:color w:val="000000"/>
          <w:sz w:val="52"/>
          <w:szCs w:val="52"/>
          <w:lang w:eastAsia="zh-CN"/>
        </w:rPr>
        <w:t>巡察办</w:t>
      </w:r>
    </w:p>
    <w:p>
      <w:pPr>
        <w:jc w:val="center"/>
        <w:rPr>
          <w:rFonts w:hint="eastAsia" w:ascii="黑体" w:hAnsi="黑体" w:eastAsia="黑体"/>
          <w:color w:val="000000"/>
          <w:sz w:val="52"/>
          <w:szCs w:val="52"/>
        </w:rPr>
      </w:pPr>
      <w:r>
        <w:rPr>
          <w:rFonts w:hint="eastAsia" w:ascii="黑体" w:hAnsi="黑体" w:eastAsia="黑体"/>
          <w:color w:val="000000"/>
          <w:sz w:val="52"/>
          <w:szCs w:val="52"/>
        </w:rPr>
        <w:t>2019年度部门预算</w:t>
      </w:r>
    </w:p>
    <w:p>
      <w:pPr>
        <w:jc w:val="center"/>
        <w:rPr>
          <w:rFonts w:hint="eastAsia" w:ascii="黑体" w:hAnsi="黑体" w:eastAsia="黑体"/>
          <w:color w:val="000000"/>
          <w:sz w:val="52"/>
          <w:szCs w:val="52"/>
        </w:rPr>
      </w:pPr>
    </w:p>
    <w:p>
      <w:pPr>
        <w:jc w:val="center"/>
        <w:rPr>
          <w:rFonts w:hint="eastAsia" w:ascii="黑体" w:hAnsi="黑体" w:eastAsia="黑体"/>
          <w:color w:val="000000"/>
          <w:sz w:val="52"/>
          <w:szCs w:val="52"/>
        </w:rPr>
      </w:pPr>
    </w:p>
    <w:p>
      <w:pPr>
        <w:jc w:val="center"/>
        <w:rPr>
          <w:rFonts w:hint="eastAsia" w:ascii="黑体" w:hAnsi="黑体" w:eastAsia="黑体"/>
          <w:color w:val="000000"/>
          <w:sz w:val="52"/>
          <w:szCs w:val="52"/>
        </w:rPr>
      </w:pPr>
    </w:p>
    <w:p>
      <w:pPr>
        <w:jc w:val="center"/>
        <w:rPr>
          <w:rFonts w:hint="eastAsia" w:ascii="黑体" w:hAnsi="黑体" w:eastAsia="黑体"/>
          <w:color w:val="000000"/>
          <w:sz w:val="52"/>
          <w:szCs w:val="52"/>
        </w:rPr>
      </w:pPr>
    </w:p>
    <w:p>
      <w:pPr>
        <w:jc w:val="center"/>
        <w:rPr>
          <w:rFonts w:hint="eastAsia" w:ascii="黑体" w:hAnsi="黑体" w:eastAsia="黑体"/>
          <w:color w:val="000000"/>
          <w:sz w:val="52"/>
          <w:szCs w:val="5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方正小标宋简体" w:eastAsia="黑体" w:cs="方正小标宋简体"/>
          <w:color w:val="000000"/>
          <w:sz w:val="44"/>
          <w:szCs w:val="44"/>
        </w:rPr>
      </w:pPr>
      <w:r>
        <w:rPr>
          <w:rFonts w:hint="eastAsia" w:ascii="黑体" w:hAnsi="方正小标宋简体" w:eastAsia="黑体" w:cs="方正小标宋简体"/>
          <w:color w:val="000000"/>
          <w:sz w:val="32"/>
          <w:szCs w:val="32"/>
        </w:rPr>
        <w:t>二○一九年</w:t>
      </w:r>
      <w:r>
        <w:rPr>
          <w:rFonts w:hint="eastAsia" w:ascii="黑体" w:hAnsi="方正小标宋简体" w:eastAsia="黑体" w:cs="方正小标宋简体"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黑体" w:hAnsi="方正小标宋简体" w:eastAsia="黑体" w:cs="方正小标宋简体"/>
          <w:color w:val="000000"/>
          <w:sz w:val="32"/>
          <w:szCs w:val="32"/>
        </w:rPr>
        <w:t>月</w:t>
      </w:r>
    </w:p>
    <w:p>
      <w:pPr>
        <w:pStyle w:val="4"/>
        <w:tabs>
          <w:tab w:val="left" w:pos="3078"/>
          <w:tab w:val="center" w:pos="4213"/>
        </w:tabs>
        <w:spacing w:line="450" w:lineRule="atLeast"/>
        <w:jc w:val="left"/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lang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4"/>
        <w:tabs>
          <w:tab w:val="left" w:pos="3078"/>
          <w:tab w:val="center" w:pos="4213"/>
        </w:tabs>
        <w:spacing w:line="450" w:lineRule="atLeast"/>
        <w:jc w:val="left"/>
        <w:rPr>
          <w:rFonts w:hint="eastAsia" w:ascii="方正小标宋简体" w:hAnsi="仿宋_GB2312" w:eastAsia="方正小标宋简体" w:cs="仿宋_GB2312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lang w:eastAsia="zh-CN"/>
        </w:rPr>
        <w:tab/>
      </w:r>
      <w:r>
        <w:rPr>
          <w:rFonts w:hint="eastAsia" w:ascii="方正小标宋简体" w:hAnsi="仿宋_GB2312" w:eastAsia="方正小标宋简体" w:cs="仿宋_GB2312"/>
          <w:color w:val="000000"/>
          <w:kern w:val="2"/>
          <w:sz w:val="44"/>
          <w:szCs w:val="44"/>
          <w:lang w:val="en-US" w:eastAsia="zh-CN" w:bidi="ar-SA"/>
        </w:rPr>
        <w:tab/>
      </w:r>
      <w:r>
        <w:rPr>
          <w:rFonts w:hint="eastAsia" w:ascii="方正小标宋简体" w:hAnsi="仿宋_GB2312" w:eastAsia="方正小标宋简体" w:cs="仿宋_GB2312"/>
          <w:color w:val="000000"/>
          <w:kern w:val="2"/>
          <w:sz w:val="44"/>
          <w:szCs w:val="44"/>
          <w:lang w:val="en-US" w:eastAsia="zh-CN" w:bidi="ar-SA"/>
        </w:rPr>
        <w:t>目　　录</w:t>
      </w:r>
    </w:p>
    <w:p>
      <w:pPr>
        <w:kinsoku w:val="0"/>
        <w:overflowPunct w:val="0"/>
        <w:adjustRightInd w:val="0"/>
        <w:snapToGrid w:val="0"/>
        <w:spacing w:line="360" w:lineRule="auto"/>
        <w:ind w:right="3569"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第一部分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概况</w:t>
      </w:r>
    </w:p>
    <w:p>
      <w:pPr>
        <w:kinsoku w:val="0"/>
        <w:overflowPunct w:val="0"/>
        <w:adjustRightInd w:val="0"/>
        <w:snapToGrid w:val="0"/>
        <w:spacing w:line="360" w:lineRule="auto"/>
        <w:ind w:right="3569"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一、主要职能</w:t>
      </w:r>
    </w:p>
    <w:p>
      <w:pPr>
        <w:kinsoku w:val="0"/>
        <w:overflowPunct w:val="0"/>
        <w:adjustRightInd w:val="0"/>
        <w:snapToGrid w:val="0"/>
        <w:spacing w:line="360" w:lineRule="auto"/>
        <w:ind w:right="3569"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二、部门预算单位构成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第二部分  巡察工作领导小组办公室2019年部门预算情况说明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第三部分 名词解释</w:t>
      </w:r>
    </w:p>
    <w:p>
      <w:pPr>
        <w:kinsoku w:val="0"/>
        <w:overflowPunct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巡察工作领导小组办公室2019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年度部门预算表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一、部门收支总体情况表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二、部门收入总体情况表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三、部门支出总体情况表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四、财政拨款收支总体情况表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五、一般公共预算支出情况表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六、一般公共预算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基本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七、一般公共预算“三公”经费支出情况表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八、政府性基金预算支出情况表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九、国有资本经营预算收支情况表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十、机关运行经费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十一、预算项目支出绩效目标表</w:t>
      </w:r>
    </w:p>
    <w:p>
      <w:pPr>
        <w:pStyle w:val="4"/>
        <w:spacing w:line="450" w:lineRule="atLeast"/>
        <w:rPr>
          <w:rFonts w:ascii="Helvetica" w:hAnsi="Helvetica" w:cs="Helvetica"/>
          <w:color w:val="333333"/>
        </w:rPr>
      </w:pPr>
    </w:p>
    <w:p>
      <w:pPr>
        <w:pStyle w:val="4"/>
        <w:spacing w:line="450" w:lineRule="atLeast"/>
        <w:rPr>
          <w:rFonts w:ascii="Helvetica" w:hAnsi="Helvetica" w:cs="Helvetica"/>
          <w:color w:val="333333"/>
        </w:rPr>
      </w:pPr>
    </w:p>
    <w:p>
      <w:pPr>
        <w:adjustRightInd w:val="0"/>
        <w:snapToGrid w:val="0"/>
        <w:spacing w:line="580" w:lineRule="exact"/>
        <w:jc w:val="center"/>
        <w:rPr>
          <w:rFonts w:ascii="Helvetica" w:hAnsi="Helvetica" w:cs="Helvetica"/>
          <w:color w:val="333333"/>
        </w:rPr>
      </w:pPr>
      <w:r>
        <w:rPr>
          <w:rFonts w:hint="eastAsia" w:ascii="黑体" w:hAnsi="仿宋_GB2312" w:eastAsia="黑体" w:cs="仿宋_GB2312"/>
          <w:bCs/>
          <w:color w:val="000000"/>
          <w:sz w:val="36"/>
          <w:szCs w:val="36"/>
        </w:rPr>
        <w:t>第一部分　伊滨区巡察办概况</w:t>
      </w:r>
    </w:p>
    <w:p>
      <w:pPr>
        <w:numPr>
          <w:ilvl w:val="0"/>
          <w:numId w:val="0"/>
        </w:numPr>
        <w:adjustRightInd w:val="0"/>
        <w:snapToGrid w:val="0"/>
        <w:spacing w:line="580" w:lineRule="exact"/>
        <w:ind w:firstLine="640" w:firstLineChars="200"/>
        <w:outlineLvl w:val="0"/>
        <w:rPr>
          <w:rFonts w:hint="eastAsia" w:ascii="黑体" w:hAnsi="仿宋_GB2312" w:eastAsia="黑体" w:cs="仿宋_GB2312"/>
          <w:color w:val="000000"/>
          <w:sz w:val="32"/>
          <w:szCs w:val="32"/>
        </w:rPr>
      </w:pPr>
      <w:r>
        <w:rPr>
          <w:rFonts w:hint="eastAsia" w:ascii="黑体" w:hAnsi="仿宋_GB2312" w:eastAsia="黑体" w:cs="仿宋_GB2312"/>
          <w:color w:val="000000"/>
          <w:sz w:val="32"/>
          <w:szCs w:val="32"/>
          <w:lang w:eastAsia="zh-CN"/>
        </w:rPr>
        <w:t>一、</w:t>
      </w:r>
      <w:r>
        <w:rPr>
          <w:rFonts w:hint="eastAsia" w:ascii="黑体" w:hAnsi="仿宋_GB2312" w:eastAsia="黑体" w:cs="仿宋_GB2312"/>
          <w:color w:val="000000"/>
          <w:sz w:val="32"/>
          <w:szCs w:val="32"/>
        </w:rPr>
        <w:t>主要职能</w:t>
      </w:r>
    </w:p>
    <w:p>
      <w:pPr>
        <w:kinsoku w:val="0"/>
        <w:overflowPunct w:val="0"/>
        <w:adjustRightInd w:val="0"/>
        <w:snapToGrid w:val="0"/>
        <w:spacing w:line="580" w:lineRule="exact"/>
        <w:ind w:right="3569" w:firstLine="640" w:firstLineChars="200"/>
        <w:jc w:val="left"/>
        <w:rPr>
          <w:rFonts w:hint="eastAsia" w:ascii="楷体_GB2312" w:hAnsi="仿宋_GB2312" w:eastAsia="楷体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>（一）机构设置情况</w:t>
      </w:r>
    </w:p>
    <w:p>
      <w:pPr>
        <w:pStyle w:val="4"/>
        <w:spacing w:line="585" w:lineRule="atLeast"/>
        <w:ind w:firstLine="615"/>
        <w:rPr>
          <w:rFonts w:hint="eastAsia" w:ascii="仿宋_GB2312" w:hAnsi="Helvetica" w:eastAsia="仿宋_GB2312" w:cs="Helvetica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Helvetica" w:eastAsia="仿宋_GB2312" w:cs="Helvetica"/>
          <w:color w:val="333333"/>
          <w:sz w:val="32"/>
          <w:szCs w:val="32"/>
          <w:shd w:val="clear" w:color="auto" w:fill="FFFFFF"/>
        </w:rPr>
        <w:t>伊滨区巡察办有二级预算单位0个，三级预算单位0个。内设3个职能科，分别为综合科和联络督办科、巡察村居科，共有10名工作人员。</w:t>
      </w:r>
    </w:p>
    <w:p>
      <w:pPr>
        <w:kinsoku w:val="0"/>
        <w:overflowPunct w:val="0"/>
        <w:adjustRightInd w:val="0"/>
        <w:snapToGrid w:val="0"/>
        <w:spacing w:line="580" w:lineRule="exact"/>
        <w:ind w:right="3569" w:firstLine="640" w:firstLineChars="200"/>
        <w:jc w:val="left"/>
        <w:rPr>
          <w:rFonts w:hint="eastAsia" w:ascii="楷体_GB2312" w:hAnsi="仿宋_GB2312" w:eastAsia="楷体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>（二）部门职责</w:t>
      </w:r>
    </w:p>
    <w:p>
      <w:pPr>
        <w:pStyle w:val="4"/>
        <w:shd w:val="clear" w:color="auto" w:fill="FFFFFF"/>
        <w:spacing w:line="585" w:lineRule="atLeast"/>
        <w:ind w:firstLine="645"/>
        <w:jc w:val="both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1．贯彻落实区党工委和巡察工作领导小组作出的决策和部署；2．研究巡察工作政策，制定我区巡察工作相关配套制度；3．综合协调、组织、指导巡察组开展工作，做好巡察服务保障工作；4．加强巡察机构党组织和巡察队伍建设，组织开展对巡察机构工作人员的培训、考核、监督和管理；5．督办市委巡察工作领导小组、区党工委和巡察工作领导小组预定的事项；6．督促检查被巡察地方、单位对巡察反馈意见的整改落实工作；</w:t>
      </w:r>
    </w:p>
    <w:p>
      <w:pPr>
        <w:kinsoku w:val="0"/>
        <w:overflowPunct w:val="0"/>
        <w:adjustRightInd w:val="0"/>
        <w:snapToGrid w:val="0"/>
        <w:spacing w:line="580" w:lineRule="exact"/>
        <w:ind w:right="3569" w:firstLine="640" w:firstLineChars="200"/>
        <w:jc w:val="left"/>
        <w:outlineLvl w:val="0"/>
        <w:rPr>
          <w:rFonts w:hint="eastAsia" w:ascii="黑体" w:hAnsi="仿宋_GB2312" w:eastAsia="黑体" w:cs="仿宋_GB2312"/>
          <w:color w:val="000000"/>
          <w:sz w:val="32"/>
          <w:szCs w:val="32"/>
        </w:rPr>
      </w:pPr>
      <w:r>
        <w:rPr>
          <w:rFonts w:hint="eastAsia" w:ascii="黑体" w:hAnsi="仿宋_GB2312" w:eastAsia="黑体" w:cs="仿宋_GB2312"/>
          <w:color w:val="000000"/>
          <w:sz w:val="32"/>
          <w:szCs w:val="32"/>
        </w:rPr>
        <w:t>二、</w:t>
      </w:r>
      <w:r>
        <w:rPr>
          <w:rFonts w:hint="eastAsia" w:ascii="黑体" w:hAnsi="仿宋_GB2312" w:eastAsia="黑体" w:cs="仿宋_GB2312"/>
          <w:color w:val="000000"/>
          <w:sz w:val="32"/>
          <w:szCs w:val="32"/>
          <w:lang w:eastAsia="zh-CN"/>
        </w:rPr>
        <w:t>巡察办</w:t>
      </w:r>
      <w:r>
        <w:rPr>
          <w:rFonts w:hint="eastAsia" w:ascii="黑体" w:hAnsi="仿宋_GB2312" w:eastAsia="黑体" w:cs="仿宋_GB2312"/>
          <w:color w:val="000000"/>
          <w:sz w:val="32"/>
          <w:szCs w:val="32"/>
        </w:rPr>
        <w:t>预算单位构成</w:t>
      </w:r>
    </w:p>
    <w:p>
      <w:pPr>
        <w:pStyle w:val="4"/>
        <w:spacing w:line="585" w:lineRule="atLeast"/>
        <w:ind w:firstLine="615"/>
        <w:rPr>
          <w:rFonts w:hint="eastAsia" w:ascii="仿宋_GB2312" w:hAnsi="Helvetica" w:eastAsia="仿宋_GB2312" w:cs="Helvetica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Helvetica" w:eastAsia="仿宋_GB2312" w:cs="Helvetica"/>
          <w:color w:val="333333"/>
          <w:sz w:val="32"/>
          <w:szCs w:val="32"/>
          <w:shd w:val="clear" w:color="auto" w:fill="FFFFFF"/>
          <w:lang w:val="en-US" w:eastAsia="zh-CN"/>
        </w:rPr>
        <w:t>从预算单位构成看，我单位2019年预算包括：本级预算。纳入本部门2019年度部门预算编制范围内的单位共1个：巡察工作领导小组办公室本级。</w:t>
      </w:r>
    </w:p>
    <w:p>
      <w:pPr>
        <w:pStyle w:val="4"/>
        <w:shd w:val="clear" w:color="auto" w:fill="FFFFFF"/>
        <w:spacing w:line="555" w:lineRule="atLeast"/>
        <w:ind w:firstLine="360"/>
        <w:rPr>
          <w:rFonts w:ascii="Helvetica" w:hAnsi="Helvetica" w:cs="Helvetica"/>
          <w:color w:val="333333"/>
        </w:rPr>
      </w:pPr>
      <w:r>
        <w:rPr>
          <w:rFonts w:hint="eastAsia" w:cs="Helvetica"/>
          <w:color w:val="333333"/>
          <w:sz w:val="18"/>
          <w:szCs w:val="18"/>
        </w:rPr>
        <w:t> </w:t>
      </w:r>
    </w:p>
    <w:p>
      <w:pPr>
        <w:pStyle w:val="4"/>
        <w:shd w:val="clear" w:color="auto" w:fill="FFFFFF"/>
        <w:spacing w:line="450" w:lineRule="atLeast"/>
        <w:rPr>
          <w:rFonts w:ascii="Helvetica" w:hAnsi="Helvetica" w:cs="Helvetica"/>
          <w:color w:val="333333"/>
        </w:rPr>
      </w:pPr>
      <w:r>
        <w:rPr>
          <w:rFonts w:hint="eastAsia"/>
          <w:color w:val="333333"/>
          <w:sz w:val="29"/>
          <w:szCs w:val="29"/>
        </w:rPr>
        <w:t> </w:t>
      </w:r>
    </w:p>
    <w:p>
      <w:pPr>
        <w:pStyle w:val="4"/>
        <w:shd w:val="clear" w:color="auto" w:fill="FFFFFF"/>
        <w:spacing w:line="450" w:lineRule="atLeast"/>
        <w:rPr>
          <w:rFonts w:ascii="Helvetica" w:hAnsi="Helvetica" w:cs="Helvetica"/>
          <w:color w:val="333333"/>
        </w:rPr>
      </w:pPr>
      <w:r>
        <w:rPr>
          <w:rFonts w:hint="eastAsia" w:cs="Helvetica"/>
          <w:color w:val="333333"/>
          <w:sz w:val="18"/>
          <w:szCs w:val="18"/>
        </w:rPr>
        <w:t> </w:t>
      </w:r>
    </w:p>
    <w:p>
      <w:pPr>
        <w:pStyle w:val="4"/>
        <w:shd w:val="clear" w:color="auto" w:fill="FFFFFF"/>
        <w:spacing w:line="450" w:lineRule="atLeast"/>
        <w:rPr>
          <w:rFonts w:ascii="Helvetica" w:hAnsi="Helvetica" w:cs="Helvetica"/>
          <w:color w:val="333333"/>
        </w:rPr>
      </w:pPr>
      <w:r>
        <w:rPr>
          <w:rFonts w:hint="eastAsia"/>
          <w:color w:val="333333"/>
          <w:sz w:val="32"/>
          <w:szCs w:val="32"/>
        </w:rPr>
        <w:t> </w:t>
      </w:r>
    </w:p>
    <w:p>
      <w:pPr>
        <w:pStyle w:val="4"/>
        <w:spacing w:line="450" w:lineRule="atLeast"/>
        <w:rPr>
          <w:rFonts w:hint="eastAsia"/>
          <w:color w:val="333333"/>
          <w:sz w:val="32"/>
          <w:szCs w:val="32"/>
        </w:rPr>
      </w:pPr>
      <w:r>
        <w:rPr>
          <w:rFonts w:hint="eastAsia" w:ascii="仿宋_GB2312" w:hAnsi="Helvetica" w:eastAsia="仿宋_GB2312" w:cs="Helvetica"/>
          <w:color w:val="333333"/>
          <w:sz w:val="32"/>
          <w:szCs w:val="32"/>
        </w:rPr>
        <w:t> </w:t>
      </w:r>
    </w:p>
    <w:p>
      <w:pPr>
        <w:pStyle w:val="4"/>
        <w:spacing w:line="450" w:lineRule="atLeast"/>
        <w:rPr>
          <w:rFonts w:hint="eastAsia"/>
          <w:color w:val="333333"/>
          <w:sz w:val="32"/>
          <w:szCs w:val="32"/>
        </w:rPr>
      </w:pPr>
    </w:p>
    <w:p>
      <w:pPr>
        <w:pStyle w:val="4"/>
        <w:spacing w:line="450" w:lineRule="atLeast"/>
        <w:jc w:val="center"/>
        <w:rPr>
          <w:rFonts w:ascii="Helvetica" w:hAnsi="Helvetica" w:cs="Helvetica"/>
          <w:color w:val="333333"/>
        </w:rPr>
      </w:pPr>
      <w:r>
        <w:rPr>
          <w:rFonts w:hint="eastAsia" w:ascii="黑体" w:hAnsi="黑体" w:eastAsia="黑体" w:cs="Helvetica"/>
          <w:color w:val="333333"/>
          <w:sz w:val="48"/>
          <w:szCs w:val="48"/>
        </w:rPr>
        <w:t>第二部分</w:t>
      </w:r>
    </w:p>
    <w:p>
      <w:pPr>
        <w:pStyle w:val="4"/>
        <w:spacing w:line="450" w:lineRule="atLeast"/>
        <w:jc w:val="center"/>
        <w:rPr>
          <w:rFonts w:ascii="Helvetica" w:hAnsi="Helvetica" w:cs="Helvetica"/>
          <w:color w:val="333333"/>
        </w:rPr>
      </w:pPr>
      <w:r>
        <w:rPr>
          <w:rFonts w:hint="eastAsia" w:ascii="黑体" w:hAnsi="黑体" w:eastAsia="黑体" w:cs="Helvetica"/>
          <w:color w:val="333333"/>
          <w:sz w:val="48"/>
          <w:szCs w:val="48"/>
        </w:rPr>
        <w:t>2019年度部门预算情况说明</w:t>
      </w:r>
    </w:p>
    <w:p>
      <w:pPr>
        <w:pStyle w:val="4"/>
        <w:spacing w:line="450" w:lineRule="atLeast"/>
        <w:rPr>
          <w:rFonts w:ascii="Helvetica" w:hAnsi="Helvetica" w:cs="Helvetica"/>
          <w:color w:val="333333"/>
        </w:rPr>
      </w:pPr>
      <w:r>
        <w:rPr>
          <w:rFonts w:hint="eastAsia" w:ascii="黑体" w:hAnsi="黑体" w:eastAsia="黑体" w:cs="Helvetica"/>
          <w:color w:val="333333"/>
          <w:sz w:val="32"/>
          <w:szCs w:val="32"/>
        </w:rPr>
        <w:br w:type="page"/>
      </w:r>
    </w:p>
    <w:p>
      <w:pPr>
        <w:pStyle w:val="4"/>
        <w:spacing w:line="585" w:lineRule="atLeast"/>
        <w:ind w:firstLine="645"/>
        <w:rPr>
          <w:rFonts w:ascii="Helvetica" w:hAnsi="Helvetica" w:cs="Helvetica"/>
          <w:color w:val="333333"/>
          <w:sz w:val="32"/>
          <w:szCs w:val="32"/>
        </w:rPr>
      </w:pPr>
      <w:r>
        <w:rPr>
          <w:rFonts w:hint="eastAsia" w:ascii="黑体" w:hAnsi="黑体" w:eastAsia="黑体" w:cs="Helvetica"/>
          <w:color w:val="333333"/>
          <w:sz w:val="32"/>
          <w:szCs w:val="32"/>
        </w:rPr>
        <w:t>一、收入支出预算总体情况说明</w:t>
      </w:r>
    </w:p>
    <w:p>
      <w:pPr>
        <w:pStyle w:val="4"/>
        <w:spacing w:line="585" w:lineRule="atLeast"/>
        <w:ind w:firstLine="615"/>
        <w:rPr>
          <w:rFonts w:ascii="Helvetica" w:hAnsi="Helvetica" w:cs="Helvetica"/>
          <w:color w:val="333333"/>
          <w:sz w:val="32"/>
          <w:szCs w:val="32"/>
        </w:rPr>
      </w:pPr>
      <w:r>
        <w:rPr>
          <w:rFonts w:hint="eastAsia" w:ascii="仿宋_GB2312" w:hAnsi="Helvetica" w:eastAsia="仿宋_GB2312" w:cs="Helvetica"/>
          <w:color w:val="333333"/>
          <w:sz w:val="32"/>
          <w:szCs w:val="32"/>
          <w:shd w:val="clear" w:color="auto" w:fill="FFFFFF"/>
        </w:rPr>
        <w:t xml:space="preserve">2019年度收、支总计均为47.11万元。与2018年度相比，收、支总计各增加20.84万元，增加79.33%。主要原因是2019年我单位人员增加和上级安排工作任务增加，业务量明显增加。2019年按上级要求开始开展巡察村居工作，巡察村居工作时间紧任务重，故2019年收支增加。 </w:t>
      </w:r>
    </w:p>
    <w:p>
      <w:pPr>
        <w:pStyle w:val="4"/>
        <w:spacing w:line="585" w:lineRule="atLeast"/>
        <w:ind w:firstLine="645"/>
        <w:rPr>
          <w:rFonts w:ascii="Helvetica" w:hAnsi="Helvetica" w:cs="Helvetica"/>
          <w:color w:val="333333"/>
          <w:sz w:val="32"/>
          <w:szCs w:val="32"/>
        </w:rPr>
      </w:pPr>
      <w:r>
        <w:rPr>
          <w:rFonts w:hint="eastAsia" w:ascii="黑体" w:hAnsi="黑体" w:eastAsia="黑体" w:cs="Helvetica"/>
          <w:color w:val="333333"/>
          <w:sz w:val="32"/>
          <w:szCs w:val="32"/>
        </w:rPr>
        <w:t>二、收入预算情况说明</w:t>
      </w:r>
    </w:p>
    <w:p>
      <w:pPr>
        <w:pStyle w:val="4"/>
        <w:shd w:val="clear" w:color="auto" w:fill="FFFFFF"/>
        <w:spacing w:line="585" w:lineRule="atLeast"/>
        <w:ind w:firstLine="645"/>
        <w:jc w:val="both"/>
        <w:rPr>
          <w:rFonts w:ascii="Helvetica" w:hAnsi="Helvetica" w:cs="Helvetica"/>
          <w:color w:val="333333"/>
          <w:sz w:val="32"/>
          <w:szCs w:val="32"/>
        </w:rPr>
      </w:pPr>
      <w:r>
        <w:rPr>
          <w:rFonts w:hint="eastAsia" w:ascii="仿宋_GB2312" w:hAnsi="Helvetica" w:eastAsia="仿宋_GB2312" w:cs="Helvetica"/>
          <w:color w:val="333333"/>
          <w:sz w:val="32"/>
          <w:szCs w:val="32"/>
        </w:rPr>
        <w:t>2019年度收入合计47.11万元，其中：财政拨款收入47.11万元，占100%；上级补助收入0万元，占0%；事业收入0万元，占0%；经营收入万元，占0%；附属单位上缴收入0万元，占0%；其他收入0万元，占0%。</w:t>
      </w:r>
    </w:p>
    <w:p>
      <w:pPr>
        <w:pStyle w:val="4"/>
        <w:spacing w:line="585" w:lineRule="atLeast"/>
        <w:ind w:firstLine="645"/>
        <w:rPr>
          <w:rFonts w:ascii="Helvetica" w:hAnsi="Helvetica" w:cs="Helvetica"/>
          <w:color w:val="333333"/>
          <w:sz w:val="32"/>
          <w:szCs w:val="32"/>
        </w:rPr>
      </w:pPr>
      <w:r>
        <w:rPr>
          <w:rFonts w:hint="eastAsia" w:ascii="黑体" w:hAnsi="黑体" w:eastAsia="黑体" w:cs="Helvetica"/>
          <w:color w:val="333333"/>
          <w:sz w:val="32"/>
          <w:szCs w:val="32"/>
        </w:rPr>
        <w:t>三、支出预算情况说明</w:t>
      </w:r>
    </w:p>
    <w:p>
      <w:pPr>
        <w:pStyle w:val="4"/>
        <w:shd w:val="clear" w:color="auto" w:fill="FFFFFF"/>
        <w:spacing w:line="585" w:lineRule="atLeast"/>
        <w:ind w:firstLine="645"/>
        <w:jc w:val="both"/>
        <w:rPr>
          <w:rFonts w:ascii="Helvetica" w:hAnsi="Helvetica" w:cs="Helvetica"/>
          <w:color w:val="333333"/>
          <w:sz w:val="32"/>
          <w:szCs w:val="32"/>
        </w:rPr>
      </w:pPr>
      <w:r>
        <w:rPr>
          <w:rFonts w:hint="eastAsia" w:ascii="仿宋_GB2312" w:hAnsi="Helvetica" w:eastAsia="仿宋_GB2312" w:cs="Helvetica"/>
          <w:color w:val="333333"/>
          <w:sz w:val="32"/>
          <w:szCs w:val="32"/>
        </w:rPr>
        <w:t>2019年度支出合计47.11万元，其中：基本支出9.92万元，占21.06%；项目支出37.19万元，占78.94%；上缴上级支出0万元，占0%；经营支出0万元，占0%；对附属单位补助支出0万元，占0%。</w:t>
      </w:r>
    </w:p>
    <w:p>
      <w:pPr>
        <w:pStyle w:val="4"/>
        <w:spacing w:line="585" w:lineRule="atLeast"/>
        <w:ind w:firstLine="645"/>
        <w:rPr>
          <w:rFonts w:ascii="Helvetica" w:hAnsi="Helvetica" w:cs="Helvetica"/>
          <w:color w:val="333333"/>
          <w:sz w:val="32"/>
          <w:szCs w:val="32"/>
        </w:rPr>
      </w:pPr>
      <w:r>
        <w:rPr>
          <w:rFonts w:hint="eastAsia" w:ascii="黑体" w:hAnsi="黑体" w:eastAsia="黑体" w:cs="Helvetica"/>
          <w:color w:val="333333"/>
          <w:sz w:val="32"/>
          <w:szCs w:val="32"/>
        </w:rPr>
        <w:t>四、财政拨款收入支出预算总体情况说明</w:t>
      </w:r>
    </w:p>
    <w:p>
      <w:pPr>
        <w:pStyle w:val="4"/>
        <w:spacing w:line="585" w:lineRule="atLeast"/>
        <w:ind w:firstLine="615"/>
        <w:rPr>
          <w:rFonts w:ascii="Helvetica" w:hAnsi="Helvetica" w:cs="Helvetica"/>
          <w:color w:val="333333"/>
          <w:sz w:val="32"/>
          <w:szCs w:val="32"/>
        </w:rPr>
      </w:pPr>
      <w:r>
        <w:rPr>
          <w:rFonts w:hint="eastAsia" w:ascii="仿宋_GB2312" w:hAnsi="Helvetica" w:eastAsia="仿宋_GB2312" w:cs="Helvetica"/>
          <w:color w:val="333333"/>
          <w:sz w:val="32"/>
          <w:szCs w:val="32"/>
          <w:shd w:val="clear" w:color="auto" w:fill="FFFFFF"/>
        </w:rPr>
        <w:t xml:space="preserve">2019年度收、支总计均为47.11万元。与2018年度相比，收、支总计各增加20.84万元，增加79.33%。主要原因是2019年我单位人员增加和上级安排工作任务增加，业务量明显增加。2019年按上级要求开始开展巡察村居工作，巡察村居工作时间紧任务重，故2019年收支增加。 </w:t>
      </w:r>
    </w:p>
    <w:p>
      <w:pPr>
        <w:pStyle w:val="4"/>
        <w:spacing w:line="585" w:lineRule="atLeast"/>
        <w:ind w:firstLine="645"/>
        <w:rPr>
          <w:rFonts w:ascii="Helvetica" w:hAnsi="Helvetica" w:cs="Helvetica"/>
          <w:color w:val="333333"/>
          <w:sz w:val="32"/>
          <w:szCs w:val="32"/>
        </w:rPr>
      </w:pPr>
      <w:r>
        <w:rPr>
          <w:rFonts w:hint="eastAsia" w:ascii="黑体" w:hAnsi="黑体" w:eastAsia="黑体" w:cs="Helvetica"/>
          <w:color w:val="333333"/>
          <w:sz w:val="32"/>
          <w:szCs w:val="32"/>
        </w:rPr>
        <w:t>五、一般公共预算财政拨款支出预算情况说明</w:t>
      </w:r>
    </w:p>
    <w:p>
      <w:pPr>
        <w:pStyle w:val="4"/>
        <w:spacing w:line="585" w:lineRule="atLeast"/>
        <w:ind w:firstLine="645"/>
        <w:rPr>
          <w:rFonts w:ascii="Helvetica" w:hAnsi="Helvetica" w:cs="Helvetica"/>
          <w:color w:val="333333"/>
        </w:rPr>
      </w:pPr>
      <w:r>
        <w:rPr>
          <w:rFonts w:hint="eastAsia" w:ascii="仿宋_GB2312" w:hAnsi="Helvetica" w:eastAsia="仿宋_GB2312" w:cs="Helvetica"/>
          <w:color w:val="333333"/>
          <w:sz w:val="32"/>
          <w:szCs w:val="32"/>
          <w:lang w:eastAsia="zh-CN"/>
        </w:rPr>
        <w:t>巡察办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</w:rPr>
        <w:t>2019年度一般公共预算财政拨款支出47.11万元，主要用于以下方面：一般公共服务（类）支出47.11万元，占100%；</w:t>
      </w:r>
    </w:p>
    <w:p>
      <w:pPr>
        <w:pStyle w:val="4"/>
        <w:spacing w:line="585" w:lineRule="atLeast"/>
        <w:ind w:firstLine="645"/>
        <w:rPr>
          <w:rFonts w:hint="eastAsia" w:ascii="仿宋_GB2312" w:hAnsi="Helvetica" w:eastAsia="仿宋_GB2312" w:cs="Helvetica"/>
          <w:color w:val="333333"/>
          <w:sz w:val="32"/>
          <w:szCs w:val="32"/>
        </w:rPr>
      </w:pPr>
      <w:r>
        <w:rPr>
          <w:rFonts w:hint="eastAsia" w:ascii="黑体" w:hAnsi="黑体" w:eastAsia="黑体" w:cs="Helvetica"/>
          <w:color w:val="333333"/>
          <w:sz w:val="32"/>
          <w:szCs w:val="32"/>
        </w:rPr>
        <w:t>六、一般公共预算财政拨款基本支出预算情况说明</w:t>
      </w:r>
    </w:p>
    <w:p>
      <w:pPr>
        <w:pStyle w:val="4"/>
        <w:spacing w:line="585" w:lineRule="atLeast"/>
        <w:ind w:firstLine="645"/>
        <w:rPr>
          <w:rFonts w:ascii="Helvetica" w:hAnsi="Helvetica" w:cs="Helvetica"/>
          <w:color w:val="333333"/>
        </w:rPr>
      </w:pPr>
      <w:r>
        <w:rPr>
          <w:rFonts w:hint="eastAsia" w:ascii="仿宋_GB2312" w:hAnsi="Helvetica" w:eastAsia="仿宋_GB2312" w:cs="Helvetica"/>
          <w:color w:val="333333"/>
          <w:sz w:val="32"/>
          <w:szCs w:val="32"/>
        </w:rPr>
        <w:t>2019年度一般公共预算财政拨款基本支出9.92万元。其中：人员经费7.62万元，主要包括：基本工资、津贴补贴、伙食补助费、绩效工资、机关事业单位基本养老保险缴费、职业年金缴费、其他社会保障缴费、其他工资福利支出、离休费、退休费、抚恤金、生活补助、医疗费、奖励金、住房公积金、采暖补贴、物业服务补贴、其他对个人和家庭的补助支出；公用经费2.3万元，主要包括：办公费、印刷费、咨询费、手续费、水费、电费、邮电费、取暖费、物业管理费、差旅费、维修（护）费、租赁费、会议费、培训费、公务接待费、专用材料费、劳务费、委托业务费、工会经费、福利费、税金及附加费用、其他商品和服务支出、办公设备购置、专用设备购置、信息网络及软件购置更新。</w:t>
      </w:r>
    </w:p>
    <w:p>
      <w:pPr>
        <w:spacing w:line="58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七、政府性基金预算支出预算情况说明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2019年没有使用政府性基金预算拨款安排的支出。</w:t>
      </w:r>
    </w:p>
    <w:p>
      <w:pPr>
        <w:spacing w:line="580" w:lineRule="exact"/>
        <w:ind w:firstLine="640" w:firstLineChars="200"/>
        <w:rPr>
          <w:rFonts w:hint="eastAsia"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八、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国有资本经营预算支出预算情况说明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我单位2019年没有使用国有资本经营预算拨款安排的支出。</w:t>
      </w:r>
    </w:p>
    <w:p>
      <w:pPr>
        <w:spacing w:line="580" w:lineRule="exact"/>
        <w:ind w:firstLine="640" w:firstLineChars="200"/>
        <w:outlineLvl w:val="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九、“三公”经费支出预算情况说明</w:t>
      </w:r>
    </w:p>
    <w:p>
      <w:pPr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巡察办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部门2019年“三公”经费预算为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万元。 比 2018年预算数减少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万元，下降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具体支出情况如下：</w:t>
      </w:r>
    </w:p>
    <w:p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36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auto"/>
          <w:spacing w:val="-1"/>
          <w:kern w:val="0"/>
          <w:sz w:val="32"/>
          <w:szCs w:val="32"/>
        </w:rPr>
        <w:t>因公出国（境）费</w:t>
      </w:r>
      <w:r>
        <w:rPr>
          <w:rFonts w:hint="eastAsia" w:ascii="楷体_GB2312" w:hAnsi="仿宋_GB2312" w:eastAsia="楷体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万元。预算数比2018年减少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万元，下降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%，主要原因：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我单位2019年未使用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因公出国（境）费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支出。</w:t>
      </w:r>
    </w:p>
    <w:p>
      <w:pPr>
        <w:numPr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36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auto"/>
          <w:spacing w:val="-1"/>
          <w:kern w:val="0"/>
          <w:sz w:val="32"/>
          <w:szCs w:val="32"/>
          <w:lang w:eastAsia="zh-CN"/>
        </w:rPr>
        <w:t>（二）</w:t>
      </w:r>
      <w:r>
        <w:rPr>
          <w:rFonts w:hint="eastAsia" w:ascii="楷体_GB2312" w:hAnsi="仿宋_GB2312" w:eastAsia="楷体_GB2312" w:cs="仿宋_GB2312"/>
          <w:color w:val="auto"/>
          <w:spacing w:val="-1"/>
          <w:kern w:val="0"/>
          <w:sz w:val="32"/>
          <w:szCs w:val="32"/>
        </w:rPr>
        <w:t>公务用车购置及运行费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元。其中公务车辆购置费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万元，,比2018年减少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万元，较上年下降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%，主要原因：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我单位2019年未使用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公务用车购置及运行费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公务用车运行维护费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，比2018年减少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万元，较上年下降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%，主要原因：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我单位2019年未使用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公务用车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运行维护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支出。</w:t>
      </w:r>
    </w:p>
    <w:p>
      <w:pPr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36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仿宋_GB2312" w:eastAsia="楷体_GB2312" w:cs="仿宋_GB2312"/>
          <w:color w:val="auto"/>
          <w:spacing w:val="-1"/>
          <w:kern w:val="0"/>
          <w:sz w:val="32"/>
          <w:szCs w:val="32"/>
        </w:rPr>
        <w:t>（三）公务接待费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比2018年预算数减少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万元，下降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%，主要原因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我单位2019年未使用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公务接待费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支出。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/>
          <w:color w:val="000000"/>
          <w:spacing w:val="-1"/>
          <w:kern w:val="0"/>
          <w:sz w:val="32"/>
          <w:szCs w:val="32"/>
        </w:rPr>
        <w:t>十、其他重要事项的情况说明</w:t>
      </w:r>
      <w:bookmarkStart w:id="0" w:name="_GoBack"/>
      <w:bookmarkEnd w:id="0"/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0"/>
        <w:rPr>
          <w:rFonts w:hint="eastAsia" w:ascii="楷体_GB2312" w:hAnsi="仿宋_GB2312" w:eastAsia="楷体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</w:rPr>
        <w:t>（一）机关运行经费支出情况</w:t>
      </w:r>
    </w:p>
    <w:p>
      <w:pPr>
        <w:pStyle w:val="4"/>
        <w:keepNext w:val="0"/>
        <w:keepLines w:val="0"/>
        <w:pageBreakBefore w:val="0"/>
        <w:wordWrap/>
        <w:topLinePunct w:val="0"/>
        <w:bidi w:val="0"/>
        <w:spacing w:line="520" w:lineRule="exact"/>
        <w:ind w:firstLine="645"/>
        <w:textAlignment w:val="auto"/>
        <w:rPr>
          <w:rFonts w:hint="eastAsia" w:ascii="仿宋_GB2312" w:hAnsi="Helvetica" w:eastAsia="仿宋_GB2312" w:cs="Helvetica"/>
          <w:color w:val="333333"/>
          <w:sz w:val="32"/>
          <w:szCs w:val="32"/>
        </w:rPr>
      </w:pPr>
      <w:r>
        <w:rPr>
          <w:rFonts w:hint="eastAsia" w:ascii="仿宋_GB2312" w:hAnsi="Helvetica" w:eastAsia="仿宋_GB2312" w:cs="Helvetica"/>
          <w:color w:val="333333"/>
          <w:sz w:val="32"/>
          <w:szCs w:val="32"/>
        </w:rPr>
        <w:t>2019年度机关运行经费支出2.3万元，主要保障机关机构正常运转及正常履职需要的办公费、水电费、物业费、维修费、差旅费等支出，较2018年度减少0.46万元，下降16.66%。减少的主要原因是：人均经费减少一人。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0"/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</w:rPr>
        <w:t>（二）政府采购支出情况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2019年政府采购预算安排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政府采购货物预算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万元、政府采购工程预算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万元、政府采购服务预算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outlineLvl w:val="0"/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</w:rPr>
        <w:t>（三）关于预算绩效管理工作开展情况说明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2018年,我部门对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个项目进行了预算绩效评价，涉及资金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万元。2019年，我部门纳入预算绩效管理的支出总额为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万元，其中人员经费支出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万元，公用经费支出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万元，支出项目共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个，支出总额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万元，其中预算支出100万元及100万元以上项目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个，支出总额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万元。 </w:t>
      </w:r>
    </w:p>
    <w:p>
      <w:pPr>
        <w:spacing w:line="580" w:lineRule="exact"/>
        <w:ind w:left="420" w:leftChars="200"/>
        <w:rPr>
          <w:rFonts w:hint="eastAsia" w:ascii="楷体_GB2312" w:hAnsi="仿宋_GB2312" w:eastAsia="楷体_GB2312" w:cs="仿宋_GB2312"/>
          <w:bCs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bCs/>
          <w:color w:val="000000"/>
          <w:sz w:val="32"/>
          <w:szCs w:val="32"/>
        </w:rPr>
        <w:t>（四）国有资产占用情况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2018年期末，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巡察办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部门固定资产总额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万元，其中，房屋建筑物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万元，车辆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万元。共有车辆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辆，其中：一般公务用车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辆，执法执勤车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辆，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单价50万元以上通用设备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台（套），单位价值100万元以上专用设备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台（套）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</w:t>
      </w:r>
    </w:p>
    <w:p>
      <w:pPr>
        <w:widowControl/>
        <w:spacing w:line="580" w:lineRule="exact"/>
        <w:ind w:firstLine="640" w:firstLineChars="200"/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</w:rPr>
        <w:t>（五）关于预算部门构成说明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2019年我单位按照市财政预算公开要求，将所属预算单位全部纳入预算公开范围。</w:t>
      </w:r>
    </w:p>
    <w:p>
      <w:pPr>
        <w:pStyle w:val="4"/>
        <w:spacing w:line="450" w:lineRule="atLeast"/>
        <w:rPr>
          <w:rFonts w:ascii="Helvetica" w:hAnsi="Helvetica" w:cs="Helvetica"/>
          <w:color w:val="333333"/>
        </w:rPr>
      </w:pPr>
      <w:r>
        <w:rPr>
          <w:rFonts w:hint="eastAsia"/>
          <w:color w:val="333333"/>
          <w:sz w:val="32"/>
          <w:szCs w:val="32"/>
        </w:rPr>
        <w:t> </w:t>
      </w:r>
    </w:p>
    <w:p>
      <w:pPr>
        <w:pStyle w:val="4"/>
        <w:spacing w:line="450" w:lineRule="atLeast"/>
        <w:rPr>
          <w:rFonts w:ascii="Helvetica" w:hAnsi="Helvetica" w:cs="Helvetica"/>
          <w:color w:val="333333"/>
        </w:rPr>
      </w:pPr>
      <w:r>
        <w:rPr>
          <w:rFonts w:hint="eastAsia"/>
          <w:color w:val="333333"/>
          <w:sz w:val="32"/>
          <w:szCs w:val="32"/>
        </w:rPr>
        <w:t> </w:t>
      </w:r>
    </w:p>
    <w:p>
      <w:pPr>
        <w:pStyle w:val="4"/>
        <w:spacing w:line="450" w:lineRule="atLeast"/>
        <w:rPr>
          <w:rFonts w:hint="eastAsia"/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 </w:t>
      </w:r>
    </w:p>
    <w:p>
      <w:pPr>
        <w:pStyle w:val="4"/>
        <w:spacing w:line="450" w:lineRule="atLeast"/>
        <w:rPr>
          <w:rFonts w:hint="eastAsia"/>
          <w:color w:val="333333"/>
          <w:sz w:val="32"/>
          <w:szCs w:val="32"/>
        </w:rPr>
      </w:pPr>
    </w:p>
    <w:p>
      <w:pPr>
        <w:pStyle w:val="4"/>
        <w:spacing w:line="450" w:lineRule="atLeast"/>
        <w:rPr>
          <w:rFonts w:hint="eastAsia"/>
          <w:color w:val="333333"/>
          <w:sz w:val="32"/>
          <w:szCs w:val="32"/>
        </w:rPr>
      </w:pPr>
    </w:p>
    <w:p>
      <w:pPr>
        <w:pStyle w:val="4"/>
        <w:spacing w:line="450" w:lineRule="atLeast"/>
        <w:rPr>
          <w:rFonts w:hint="eastAsia"/>
          <w:color w:val="333333"/>
          <w:sz w:val="32"/>
          <w:szCs w:val="32"/>
        </w:rPr>
      </w:pPr>
    </w:p>
    <w:p>
      <w:pPr>
        <w:pStyle w:val="4"/>
        <w:spacing w:line="450" w:lineRule="atLeast"/>
        <w:jc w:val="center"/>
        <w:rPr>
          <w:rFonts w:ascii="Helvetica" w:hAnsi="Helvetica" w:cs="Helvetica"/>
          <w:color w:val="333333"/>
        </w:rPr>
      </w:pPr>
      <w:r>
        <w:rPr>
          <w:rFonts w:hint="eastAsia" w:ascii="黑体" w:hAnsi="黑体" w:eastAsia="黑体" w:cs="Helvetica"/>
          <w:color w:val="333333"/>
          <w:sz w:val="48"/>
          <w:szCs w:val="48"/>
        </w:rPr>
        <w:t>第三部分　　名词解释</w:t>
      </w:r>
    </w:p>
    <w:p>
      <w:pPr>
        <w:pStyle w:val="4"/>
        <w:spacing w:line="450" w:lineRule="atLeast"/>
        <w:jc w:val="center"/>
        <w:rPr>
          <w:rFonts w:ascii="Helvetica" w:hAnsi="Helvetica" w:cs="Helvetica"/>
          <w:color w:val="333333"/>
        </w:rPr>
      </w:pPr>
      <w:r>
        <w:rPr>
          <w:rFonts w:hint="eastAsia"/>
          <w:color w:val="333333"/>
          <w:sz w:val="48"/>
          <w:szCs w:val="48"/>
        </w:rPr>
        <w:t> </w:t>
      </w:r>
    </w:p>
    <w:p>
      <w:pPr>
        <w:pStyle w:val="4"/>
        <w:spacing w:line="450" w:lineRule="atLeast"/>
        <w:rPr>
          <w:rFonts w:ascii="Helvetica" w:hAnsi="Helvetica" w:cs="Helvetica"/>
          <w:color w:val="333333"/>
        </w:rPr>
      </w:pPr>
      <w:r>
        <w:rPr>
          <w:rFonts w:hint="eastAsia" w:ascii="仿宋_GB2312" w:hAnsi="Helvetica" w:eastAsia="仿宋_GB2312" w:cs="Helvetica"/>
          <w:color w:val="333333"/>
          <w:sz w:val="32"/>
          <w:szCs w:val="32"/>
        </w:rPr>
        <w:br w:type="page"/>
      </w:r>
    </w:p>
    <w:p>
      <w:pPr>
        <w:pStyle w:val="4"/>
        <w:spacing w:line="585" w:lineRule="atLeast"/>
        <w:ind w:firstLine="645"/>
        <w:rPr>
          <w:rFonts w:ascii="Helvetica" w:hAnsi="Helvetica" w:cs="Helvetica"/>
          <w:color w:val="auto"/>
        </w:rPr>
      </w:pP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>一、财政拨款收入：单位从同级政府财政部门取得的各类财政拨款。</w:t>
      </w:r>
    </w:p>
    <w:p>
      <w:pPr>
        <w:pStyle w:val="4"/>
        <w:spacing w:line="585" w:lineRule="atLeast"/>
        <w:ind w:firstLine="645"/>
        <w:rPr>
          <w:rFonts w:ascii="Helvetica" w:hAnsi="Helvetica" w:cs="Helvetica"/>
          <w:color w:val="auto"/>
        </w:rPr>
      </w:pP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>二、事业收入：事业单位开展专业业务活动及其辅助活动取得的收入。</w:t>
      </w:r>
    </w:p>
    <w:p>
      <w:pPr>
        <w:pStyle w:val="4"/>
        <w:spacing w:line="585" w:lineRule="atLeast"/>
        <w:ind w:firstLine="645"/>
        <w:rPr>
          <w:rFonts w:hint="eastAsia" w:ascii="仿宋_GB2312" w:hAnsi="Helvetica" w:eastAsia="仿宋_GB2312" w:cs="Helvetica"/>
          <w:color w:val="333333"/>
          <w:sz w:val="32"/>
          <w:szCs w:val="32"/>
        </w:rPr>
      </w:pPr>
      <w:r>
        <w:rPr>
          <w:rFonts w:hint="eastAsia" w:ascii="仿宋_GB2312" w:hAnsi="Helvetica" w:eastAsia="仿宋_GB2312" w:cs="Helvetica"/>
          <w:color w:val="333333"/>
          <w:sz w:val="32"/>
          <w:szCs w:val="32"/>
        </w:rPr>
        <w:t>三、其他收入：单位取得的除“财政拨款收入”、“事业收入”、“上级补助收入”、“附属单位上缴收入”、“经营收入”等以外的收入。</w:t>
      </w:r>
    </w:p>
    <w:p>
      <w:pPr>
        <w:pStyle w:val="4"/>
        <w:spacing w:line="585" w:lineRule="atLeast"/>
        <w:ind w:firstLine="645"/>
        <w:rPr>
          <w:rFonts w:ascii="Helvetica" w:hAnsi="Helvetica" w:cs="Helvetica"/>
          <w:color w:val="333333"/>
        </w:rPr>
      </w:pPr>
      <w:r>
        <w:rPr>
          <w:rFonts w:hint="eastAsia" w:ascii="仿宋_GB2312" w:hAnsi="Helvetica" w:eastAsia="仿宋_GB2312" w:cs="Helvetica"/>
          <w:color w:val="333333"/>
          <w:sz w:val="32"/>
          <w:szCs w:val="32"/>
          <w:lang w:eastAsia="zh-CN"/>
        </w:rPr>
        <w:t>四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</w:rPr>
        <w:t>、基本支出：为保障机构正常运转、完成日常工作任务而发生的人员支出和公用支出。</w:t>
      </w:r>
    </w:p>
    <w:p>
      <w:pPr>
        <w:pStyle w:val="4"/>
        <w:spacing w:line="585" w:lineRule="atLeast"/>
        <w:ind w:firstLine="645"/>
        <w:rPr>
          <w:rFonts w:ascii="Helvetica" w:hAnsi="Helvetica" w:cs="Helvetica"/>
          <w:color w:val="333333"/>
        </w:rPr>
      </w:pPr>
      <w:r>
        <w:rPr>
          <w:rFonts w:hint="eastAsia" w:ascii="仿宋_GB2312" w:hAnsi="Helvetica" w:eastAsia="仿宋_GB2312" w:cs="Helvetica"/>
          <w:color w:val="333333"/>
          <w:sz w:val="32"/>
          <w:szCs w:val="32"/>
          <w:lang w:eastAsia="zh-CN"/>
        </w:rPr>
        <w:t>五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</w:rPr>
        <w:t>、项目支出：基本支出之外为完成特定行政任务和事业发展目标所发生的支出。</w:t>
      </w:r>
    </w:p>
    <w:p>
      <w:pPr>
        <w:pStyle w:val="4"/>
        <w:spacing w:line="585" w:lineRule="atLeast"/>
        <w:ind w:firstLine="645"/>
        <w:rPr>
          <w:rFonts w:ascii="Helvetica" w:hAnsi="Helvetica" w:cs="Helvetica"/>
          <w:color w:val="333333"/>
        </w:rPr>
      </w:pPr>
      <w:r>
        <w:rPr>
          <w:rFonts w:hint="eastAsia" w:ascii="仿宋_GB2312" w:hAnsi="Helvetica" w:eastAsia="仿宋_GB2312" w:cs="Helvetica"/>
          <w:color w:val="333333"/>
          <w:sz w:val="32"/>
          <w:szCs w:val="32"/>
          <w:lang w:eastAsia="zh-CN"/>
        </w:rPr>
        <w:t>六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</w:rPr>
        <w:t>、“三公”经费：纳入同级财政预预算管理“三公”经费，指部门使用财政拨款安排的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反映单位公务用车车辆购置支出（含车辆购置税）及租用费、燃料费、维修费、过路过桥费、保险费、安全奖励费用等支出；公务接待费反映单位按规定开支的各类公务接待（含外宾接待）支出。</w:t>
      </w:r>
    </w:p>
    <w:p>
      <w:pPr>
        <w:pStyle w:val="4"/>
        <w:spacing w:line="585" w:lineRule="atLeast"/>
        <w:ind w:firstLine="645"/>
        <w:rPr>
          <w:rFonts w:ascii="Helvetica" w:hAnsi="Helvetica" w:cs="Helvetica"/>
          <w:color w:val="333333"/>
        </w:rPr>
      </w:pPr>
      <w:r>
        <w:rPr>
          <w:rFonts w:hint="eastAsia" w:ascii="仿宋_GB2312" w:hAnsi="Helvetica" w:eastAsia="仿宋_GB2312" w:cs="Helvetica"/>
          <w:color w:val="333333"/>
          <w:sz w:val="32"/>
          <w:szCs w:val="32"/>
          <w:lang w:eastAsia="zh-CN"/>
        </w:rPr>
        <w:t>七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</w:rPr>
        <w:t>、机关运行经费：为保障行政单位（含参照公务员法管理的事业单位）运行用于购买货物和服务的各项资金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>
      <w:pPr>
        <w:pStyle w:val="4"/>
        <w:spacing w:line="585" w:lineRule="atLeast"/>
        <w:ind w:firstLine="645"/>
        <w:rPr>
          <w:rFonts w:ascii="Helvetica" w:hAnsi="Helvetica" w:cs="Helvetica"/>
          <w:color w:val="333333"/>
        </w:rPr>
      </w:pPr>
      <w:r>
        <w:rPr>
          <w:rFonts w:hint="eastAsia" w:ascii="仿宋_GB2312" w:hAnsi="Helvetica" w:eastAsia="仿宋_GB2312" w:cs="Helvetica"/>
          <w:color w:val="333333"/>
          <w:sz w:val="32"/>
          <w:szCs w:val="32"/>
          <w:lang w:eastAsia="zh-CN"/>
        </w:rPr>
        <w:t>八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</w:rPr>
        <w:t>、年末结转：本年度或以前年度预算安排，已执行但尚未完成或因客观条件发生变化无法按原计划实施，需延迟到以后年度按有关规定继续使用的资金。</w:t>
      </w:r>
    </w:p>
    <w:p>
      <w:pPr>
        <w:adjustRightInd w:val="0"/>
        <w:snapToGrid w:val="0"/>
        <w:spacing w:line="580" w:lineRule="exact"/>
        <w:ind w:firstLine="42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>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巡察办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2019年度部门预算表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highlight w:val="magent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2019年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pStyle w:val="4"/>
        <w:spacing w:line="450" w:lineRule="atLeast"/>
        <w:rPr>
          <w:rFonts w:ascii="Helvetica" w:hAnsi="Helvetica" w:cs="Helvetica"/>
          <w:color w:val="333333"/>
        </w:rPr>
      </w:pPr>
      <w:r>
        <w:rPr>
          <w:rFonts w:hint="eastAsia"/>
          <w:color w:val="000000"/>
        </w:rPr>
        <w:br w:type="textWrapping"/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-6.8pt;height:17.8pt;width:57.7pt;mso-position-horizontal:outside;mso-position-horizontal-relative:margin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2"/>
                  <w:rPr>
                    <w:rFonts w:hint="eastAsia" w:ascii="仿宋" w:hAnsi="仿宋" w:eastAsia="仿宋" w:cs="仿宋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仿宋" w:hAnsi="仿宋" w:eastAsia="仿宋" w:cs="仿宋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  <w:lang w:eastAsia="zh-CN"/>
                  </w:rPr>
                  <w:t>2</w: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4F2DAA"/>
    <w:multiLevelType w:val="singleLevel"/>
    <w:tmpl w:val="5A4F2DAA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0758"/>
    <w:rsid w:val="009C0758"/>
    <w:rsid w:val="00F30B05"/>
    <w:rsid w:val="31C009EC"/>
    <w:rsid w:val="3B927D27"/>
    <w:rsid w:val="3D54292A"/>
    <w:rsid w:val="44097D86"/>
    <w:rsid w:val="53E024C8"/>
    <w:rsid w:val="559319A6"/>
    <w:rsid w:val="5FD4596F"/>
    <w:rsid w:val="6BA00AC9"/>
    <w:rsid w:val="7320570E"/>
    <w:rsid w:val="789F148E"/>
    <w:rsid w:val="78C16491"/>
    <w:rsid w:val="795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18</Pages>
  <Words>663</Words>
  <Characters>3782</Characters>
  <Lines>31</Lines>
  <Paragraphs>8</Paragraphs>
  <TotalTime>2</TotalTime>
  <ScaleCrop>false</ScaleCrop>
  <LinksUpToDate>false</LinksUpToDate>
  <CharactersWithSpaces>4437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2020-04-03T03:43:00Z</dcterms:created>
  <dc:creator>PC</dc:creator>
  <cp:lastModifiedBy>爱与诚</cp:lastModifiedBy>
  <cp:lastPrinted>2021-06-15T01:59:00Z</cp:lastPrinted>
  <dcterms:modified xsi:type="dcterms:W3CDTF">2021-06-15T04:28:33Z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1A644D4481BD4941A4365619A87D0F0D</vt:lpwstr>
  </property>
</Properties>
</file>