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政务服务中心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z w:val="52"/>
          <w:szCs w:val="52"/>
        </w:rPr>
        <w:t>2019</w:t>
      </w:r>
      <w:r>
        <w:rPr>
          <w:rFonts w:hint="eastAsia" w:ascii="黑体" w:hAnsi="黑体" w:eastAsia="黑体" w:cs="黑体"/>
          <w:sz w:val="52"/>
          <w:szCs w:val="52"/>
        </w:rPr>
        <w:t>年度部门预算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二〇一九年四月</w:t>
      </w:r>
    </w:p>
    <w:p>
      <w:pPr>
        <w:kinsoku w:val="0"/>
        <w:overflowPunct w:val="0"/>
        <w:adjustRightInd w:val="0"/>
        <w:snapToGrid w:val="0"/>
        <w:spacing w:line="580" w:lineRule="exact"/>
        <w:ind w:left="-142" w:right="51" w:firstLine="30" w:firstLineChars="7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目录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3569" w:firstLine="643" w:firstLineChars="200"/>
        <w:rPr>
          <w:rFonts w:ascii="仿宋_GB2312" w:hAnsi="仿宋_GB2312" w:eastAsia="仿宋_GB2312" w:cs="仿宋_GB2312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 概况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 政务服务中心部门2019年部门预算情况说明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第三部分 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 政务服务中心部门2019年度部门预算表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九、国有资本经营预算收支情况表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十、机关运行经费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十一、预算项目支出绩效目标表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第一部分</w:t>
      </w:r>
    </w:p>
    <w:p>
      <w:pPr>
        <w:widowControl/>
        <w:jc w:val="center"/>
        <w:rPr>
          <w:rFonts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政务服务中心部门概况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（一)机构设置情况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政务服务中心于</w:t>
      </w:r>
      <w:r>
        <w:rPr>
          <w:rFonts w:ascii="仿宋_GB2312" w:hAnsi="仿宋_GB2312" w:eastAsia="仿宋_GB2312" w:cs="仿宋_GB2312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月成立，原为创业就业服务中心，2016年职能改革后为政务服务中心。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具体负责</w:t>
      </w:r>
      <w:r>
        <w:rPr>
          <w:rFonts w:hint="eastAsia" w:eastAsia="仿宋_GB2312"/>
          <w:sz w:val="32"/>
          <w:szCs w:val="32"/>
          <w:shd w:val="clear" w:color="auto" w:fill="FFFFFF"/>
        </w:rPr>
        <w:t>窗口工作人员的工作情况进行监督管理，并负责窗口人员的年度考核工作；督查、规范进厅项目，确保行政审批项目按要求在中心集中公开办理；对全区各部门、各相关行业的效能工作进行监察督导，负责全市行政审批电子监察工作；负责全区</w:t>
      </w:r>
      <w:r>
        <w:rPr>
          <w:rFonts w:eastAsia="仿宋_GB2312"/>
          <w:sz w:val="32"/>
          <w:szCs w:val="32"/>
          <w:shd w:val="clear" w:color="auto" w:fill="FFFFFF"/>
        </w:rPr>
        <w:t>110</w:t>
      </w:r>
      <w:r>
        <w:rPr>
          <w:rFonts w:hint="eastAsia" w:eastAsia="仿宋_GB2312"/>
          <w:sz w:val="32"/>
          <w:szCs w:val="32"/>
          <w:shd w:val="clear" w:color="auto" w:fill="FFFFFF"/>
        </w:rPr>
        <w:t>联动和网民诉求事项的受理、交办、协调、督办、检查、回访、考核、公示等工作。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对接</w:t>
      </w:r>
      <w:r>
        <w:rPr>
          <w:rFonts w:hint="eastAsia" w:eastAsia="仿宋_GB2312"/>
          <w:sz w:val="32"/>
          <w:szCs w:val="32"/>
        </w:rPr>
        <w:t>市政务服务和大数据管理局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、市行政事业单位效能促进局、市</w:t>
      </w:r>
      <w:r>
        <w:rPr>
          <w:rFonts w:ascii="仿宋_GB2312" w:hAnsi="仿宋_GB2312" w:eastAsia="仿宋_GB2312" w:cs="仿宋_GB2312"/>
          <w:sz w:val="32"/>
          <w:szCs w:val="32"/>
        </w:rPr>
        <w:t>110</w:t>
      </w:r>
      <w:r>
        <w:rPr>
          <w:rFonts w:hint="eastAsia" w:ascii="仿宋_GB2312" w:hAnsi="仿宋_GB2312" w:eastAsia="仿宋_GB2312" w:cs="仿宋_GB2312"/>
          <w:sz w:val="32"/>
          <w:szCs w:val="32"/>
        </w:rPr>
        <w:t>联动办公室。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二、政务服务中心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部门预算单位构成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政务服务中心内设机构三个。三个科室为综合科、</w:t>
      </w:r>
      <w:r>
        <w:rPr>
          <w:rFonts w:ascii="仿宋_GB2312" w:hAnsi="仿宋_GB2312" w:eastAsia="仿宋_GB2312" w:cs="仿宋_GB2312"/>
          <w:sz w:val="32"/>
          <w:szCs w:val="32"/>
        </w:rPr>
        <w:t>110</w:t>
      </w:r>
      <w:r>
        <w:rPr>
          <w:rFonts w:hint="eastAsia" w:ascii="仿宋_GB2312" w:hAnsi="仿宋_GB2312" w:eastAsia="仿宋_GB2312" w:cs="仿宋_GB2312"/>
          <w:sz w:val="32"/>
          <w:szCs w:val="32"/>
        </w:rPr>
        <w:t>联动、业务协调科。政务服务中心属于一级预算单位。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仿宋_GB2312" w:eastAsia="黑体" w:cs="仿宋_GB2312"/>
          <w:bCs/>
          <w:color w:val="00000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580" w:lineRule="exact"/>
        <w:jc w:val="center"/>
        <w:rPr>
          <w:rFonts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第二部分</w:t>
      </w:r>
    </w:p>
    <w:p>
      <w:pPr>
        <w:widowControl/>
        <w:spacing w:line="590" w:lineRule="exact"/>
        <w:jc w:val="center"/>
        <w:rPr>
          <w:rFonts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政务服务中心部门2019年度部门预算情况说明</w:t>
      </w:r>
    </w:p>
    <w:p>
      <w:pPr>
        <w:widowControl/>
        <w:spacing w:line="59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</w:rPr>
        <w:t>收入支出预算总体情况说明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政务服务中心部门2019年收入</w:t>
      </w:r>
      <w:r>
        <w:rPr>
          <w:rFonts w:ascii="仿宋_GB2312" w:hAnsi="仿宋_GB2312" w:eastAsia="仿宋_GB2312" w:cs="仿宋_GB2312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ascii="仿宋_GB2312" w:hAnsi="仿宋_GB2312" w:eastAsia="仿宋_GB2312" w:cs="仿宋_GB2312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ascii="仿宋_GB2312" w:hAnsi="仿宋_GB2312" w:eastAsia="仿宋_GB2312" w:cs="仿宋_GB2312"/>
          <w:sz w:val="32"/>
          <w:szCs w:val="32"/>
        </w:rPr>
        <w:t>21.58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万元相比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，收、支总计各增加</w:t>
      </w:r>
      <w:r>
        <w:rPr>
          <w:rFonts w:ascii="仿宋_GB2312" w:hAnsi="仿宋_GB2312" w:eastAsia="仿宋_GB2312" w:cs="仿宋_GB2312"/>
          <w:sz w:val="32"/>
          <w:szCs w:val="32"/>
        </w:rPr>
        <w:t>45.63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Adobe 宋体 Std L" w:hAnsi="Adobe 宋体 Std L" w:eastAsia="Adobe 宋体 Std L" w:cs="Adobe 宋体 Std L"/>
          <w:color w:val="000000"/>
          <w:sz w:val="32"/>
          <w:szCs w:val="32"/>
        </w:rPr>
        <w:t>211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主要原因是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年行政服务中心新增加二十多个窗口业务，追加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年精神文明家差额部分，以及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年项目结转费用，为方便窗口及行政服务中心工作顺利开展，项目预算有所增加。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</w:rPr>
        <w:t>收入预算总体情况说明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政务服务中心部门2019年收入合计</w:t>
      </w:r>
      <w:r>
        <w:rPr>
          <w:rFonts w:ascii="仿宋_GB2312" w:hAnsi="仿宋_GB2312" w:eastAsia="仿宋_GB2312" w:cs="仿宋_GB2312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万元，其中：一般公共预算收入</w:t>
      </w:r>
      <w:r>
        <w:rPr>
          <w:rFonts w:ascii="仿宋_GB2312" w:hAnsi="仿宋_GB2312" w:eastAsia="仿宋_GB2312" w:cs="仿宋_GB2312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万元; 政府性基金预算收入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万元；国有资本经营预算收入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万元；其他收入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</w:rPr>
        <w:t>支出预算总体情况说明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年度支出合计</w:t>
      </w:r>
      <w:r>
        <w:rPr>
          <w:rFonts w:ascii="仿宋_GB2312" w:hAnsi="仿宋_GB2312" w:eastAsia="仿宋_GB2312" w:cs="仿宋_GB2312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ascii="仿宋_GB2312" w:hAnsi="仿宋_GB2312" w:eastAsia="仿宋_GB2312" w:cs="仿宋_GB2312"/>
          <w:sz w:val="32"/>
          <w:szCs w:val="32"/>
        </w:rPr>
        <w:t>26.71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ascii="仿宋_GB2312" w:hAnsi="仿宋_GB2312" w:eastAsia="仿宋_GB2312" w:cs="仿宋_GB2312"/>
          <w:sz w:val="32"/>
          <w:szCs w:val="32"/>
        </w:rPr>
        <w:t>40%</w:t>
      </w:r>
      <w:r>
        <w:rPr>
          <w:rFonts w:hint="eastAsia" w:ascii="仿宋_GB2312" w:hAnsi="仿宋_GB2312" w:eastAsia="仿宋_GB2312" w:cs="仿宋_GB2312"/>
          <w:sz w:val="32"/>
          <w:szCs w:val="32"/>
        </w:rPr>
        <w:t>；项目支出</w:t>
      </w:r>
      <w:r>
        <w:rPr>
          <w:rFonts w:ascii="仿宋_GB2312" w:hAnsi="仿宋_GB2312" w:eastAsia="仿宋_GB2312" w:cs="仿宋_GB2312"/>
          <w:sz w:val="32"/>
          <w:szCs w:val="32"/>
        </w:rPr>
        <w:t>40.50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ascii="仿宋_GB2312" w:hAnsi="仿宋_GB2312" w:eastAsia="仿宋_GB2312" w:cs="仿宋_GB2312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z w:val="32"/>
          <w:szCs w:val="32"/>
        </w:rPr>
        <w:t>；上缴上级支出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ascii="仿宋_GB2312" w:hAnsi="仿宋_GB2312" w:eastAsia="仿宋_GB2312" w:cs="仿宋_GB2312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；经营支出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ascii="仿宋_GB2312" w:hAnsi="仿宋_GB2312" w:eastAsia="仿宋_GB2312" w:cs="仿宋_GB2312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；对附属单位补助支出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ascii="仿宋_GB2312" w:hAnsi="仿宋_GB2312" w:eastAsia="仿宋_GB2312" w:cs="仿宋_GB2312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</w:rPr>
        <w:t>财政拨款收入支出预算总体情况说明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年度相比，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一般公共预算收支预算增加</w:t>
      </w:r>
      <w:r>
        <w:rPr>
          <w:rFonts w:ascii="仿宋_GB2312" w:hAnsi="仿宋_GB2312" w:eastAsia="仿宋_GB2312" w:cs="仿宋_GB2312"/>
          <w:sz w:val="32"/>
          <w:szCs w:val="32"/>
        </w:rPr>
        <w:t>45.63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Adobe 宋体 Std L" w:hAnsi="Adobe 宋体 Std L" w:eastAsia="Adobe 宋体 Std L" w:cs="Adobe 宋体 Std L"/>
          <w:color w:val="000000"/>
          <w:sz w:val="32"/>
          <w:szCs w:val="32"/>
        </w:rPr>
        <w:t>211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主要原因是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年行政服务中心新增加二十多个窗口业务，追加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年精神文明家差额部分，以及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年项目结转费用，为方便窗口及行政服务中心工作顺利开展，项目预算有所增加。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，</w:t>
      </w:r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/>
          <w:color w:val="000000"/>
          <w:sz w:val="32"/>
          <w:szCs w:val="32"/>
        </w:rPr>
        <w:t>一般公共预算支出预算情况说明</w:t>
      </w:r>
    </w:p>
    <w:p>
      <w:pPr>
        <w:widowControl/>
        <w:spacing w:line="580" w:lineRule="exact"/>
        <w:ind w:firstLine="62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年度一般公共预算财政拨款支出年初预算为</w:t>
      </w:r>
      <w:r>
        <w:rPr>
          <w:rFonts w:eastAsia="仿宋_GB2312" w:cs="仿宋_GB2312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主要用于以下方面：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一般公共服务支出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67.21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100%。国防支出0万元，占0%；教育支出0万元，占0%；科学技术支出0万元，占0%；文化体育与传媒支出0万元，占0%；社会保障和就业支出0万元，占0%；医疗卫生与计划生育支出0万元，占0%；农林水支出0万元，占0%；住房保障支出0万元，占0%。</w:t>
      </w:r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一般公共预算基本支出预算情况说明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一般公共预算基本支出</w:t>
      </w:r>
      <w:r>
        <w:rPr>
          <w:rFonts w:ascii="仿宋_GB2312" w:hAnsi="仿宋_GB2312" w:eastAsia="仿宋_GB2312" w:cs="仿宋_GB2312"/>
          <w:sz w:val="32"/>
          <w:szCs w:val="32"/>
        </w:rPr>
        <w:t>26.71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万元。与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ascii="仿宋_GB2312" w:hAnsi="仿宋_GB2312" w:eastAsia="仿宋_GB2312" w:cs="仿宋_GB2312"/>
          <w:sz w:val="32"/>
          <w:szCs w:val="32"/>
        </w:rPr>
        <w:t>16.58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万元相比，增加</w:t>
      </w:r>
      <w:r>
        <w:rPr>
          <w:rFonts w:ascii="仿宋_GB2312" w:hAnsi="仿宋_GB2312" w:eastAsia="仿宋_GB2312" w:cs="仿宋_GB2312"/>
          <w:sz w:val="32"/>
          <w:szCs w:val="32"/>
        </w:rPr>
        <w:t>10.13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万元，增长61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，主要原因：追加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年精神文明奖提标差额部分。其中：人员经费</w:t>
      </w:r>
      <w:r>
        <w:rPr>
          <w:rFonts w:ascii="仿宋_GB2312" w:hAnsi="仿宋_GB2312" w:eastAsia="仿宋_GB2312" w:cs="仿宋_GB2312"/>
          <w:sz w:val="32"/>
          <w:szCs w:val="32"/>
        </w:rPr>
        <w:t>10.99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基本工资、津贴补贴、奖金、绩效工资、机关事业单位基本养老保险缴费、职业年金缴费、医疗保险缴费、其他社会保障缴费、住房公积金、其他工资福利支出、离休费、退休费、其他对个人和家庭的补助支出；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公用经费</w:t>
      </w:r>
      <w:r>
        <w:rPr>
          <w:rFonts w:ascii="仿宋_GB2312" w:hAnsi="仿宋_GB2312" w:eastAsia="仿宋_GB2312" w:cs="仿宋_GB2312"/>
          <w:sz w:val="32"/>
          <w:szCs w:val="32"/>
        </w:rPr>
        <w:t>15.72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包括：办公费、印刷费、咨询费、手续费、水费、电费、邮电费、取暖费、物业管理费、差旅费、因公出国（境）费、维修（护）费、租赁费、会议费、培训费、公务接待费、专用材料费、专用燃料费、劳务费、委托业务费、福利费、公务用车运行维护费、其他交通费用、税金及附加费用、其他商品和服务支出、债务利息、办公设备购置、专用设备购置、基础设施建设、大型修缮、信息网络及软件购置更新、公务用车购置、其他资本性支出和其他支出。</w:t>
      </w:r>
    </w:p>
    <w:p>
      <w:pPr>
        <w:spacing w:line="58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政府性基金预算支出预算情况说明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我单位2019年没有使用政府性基金预算拨款安排的支出。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widowControl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我单位2019年没有使用国有资本经营预算拨款安排的支出。</w:t>
      </w:r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政务服务中心部门2019年“三公”经费预算为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 比 2018年预算数减少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万元。预算数比2018年减少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0%，主要原因：没有这项业务支出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万元，比2018年减少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0万元，较上年下降0%；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公务用车运行维护费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，比2018年减少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0万元，较上年下降0%，主要原因：没有这项业务支出。</w:t>
      </w:r>
    </w:p>
    <w:p>
      <w:pPr>
        <w:spacing w:line="580" w:lineRule="exact"/>
        <w:ind w:firstLine="636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，比2018年预算数减少0万元，下降0%，主要原因：没有这项业务支出。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（一）机关运行经费支出情况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政务服务中心部门2019年机关运行经费支出预算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26.71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万元，主要保障机关机构正常运转及正常履职需要的办公费、水电费、物业费、维修费、差旅费等支出，比2018年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16.58万元，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10.13万元，增长61%，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增加的主要原因是：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年行政服务中心新增加二十多个窗口业务，追加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年精神文明家差额部分，以及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年项目结转费用，为方便窗口及行政服务中心工作顺利开展，项目预算有所增加。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2019年政府采购预算安排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政府采购货物预算0万元、政府采购工程预算0万元、政府采购服务预算0万元。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320" w:firstLineChars="100"/>
        <w:outlineLvl w:val="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2018年,我部门对0个项目进行了预算绩效评价，涉及资金0万元。2019年，我部门纳入预算绩效管理的支出总额为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万元，其中预算支出100万元及100万元以上项目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spacing w:line="580" w:lineRule="exact"/>
        <w:ind w:left="420" w:leftChars="200"/>
        <w:rPr>
          <w:rFonts w:ascii="楷体_GB2312" w:hAnsi="仿宋_GB2312" w:eastAsia="楷体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2019年期末，政务服务中心部门固定资产总额0万元，其中，房屋建筑物0万元，车辆0万元。共有车辆0辆，其中：一般公务用车0辆，执法执勤车0辆；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（五）关于预算部门构成说明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2019年我单位按照市财政预算公开要求，将所属预算单位全部纳入预算公开范围。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第三部分  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七、机关运行经费：是指为保障行政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八、其他（专业性较强的需向社会做出说明的名词）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附件：政务服务中心部门2019年度部门预算表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highlight w:val="magent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2019年4月27日</w:t>
      </w:r>
    </w:p>
    <w:p>
      <w:pPr>
        <w:adjustRightInd w:val="0"/>
        <w:snapToGrid w:val="0"/>
        <w:spacing w:line="580" w:lineRule="exact"/>
        <w:ind w:firstLine="3927" w:firstLineChars="1870"/>
        <w:rPr>
          <w:color w:val="000000"/>
        </w:rPr>
      </w:pPr>
      <w:r>
        <w:rPr>
          <w:rFonts w:hint="eastAsia"/>
          <w:color w:val="000000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7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rbbgDrsBAABXAwAADgAAAAAAAAABACAAAAAe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D46E8"/>
    <w:multiLevelType w:val="singleLevel"/>
    <w:tmpl w:val="BD1D46E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61F"/>
    <w:rsid w:val="00005B2D"/>
    <w:rsid w:val="00066E43"/>
    <w:rsid w:val="0007398B"/>
    <w:rsid w:val="000C6155"/>
    <w:rsid w:val="000E4BB9"/>
    <w:rsid w:val="000F1C24"/>
    <w:rsid w:val="00102DD3"/>
    <w:rsid w:val="00123747"/>
    <w:rsid w:val="00136D12"/>
    <w:rsid w:val="001B7E9B"/>
    <w:rsid w:val="001C704E"/>
    <w:rsid w:val="00202DD5"/>
    <w:rsid w:val="00246EB3"/>
    <w:rsid w:val="00263DF3"/>
    <w:rsid w:val="002A3C7B"/>
    <w:rsid w:val="002C1FC5"/>
    <w:rsid w:val="002D5FDC"/>
    <w:rsid w:val="003323D2"/>
    <w:rsid w:val="0034005C"/>
    <w:rsid w:val="003466B6"/>
    <w:rsid w:val="00353704"/>
    <w:rsid w:val="00382CFD"/>
    <w:rsid w:val="0039762E"/>
    <w:rsid w:val="003A0164"/>
    <w:rsid w:val="003F50D3"/>
    <w:rsid w:val="003F5A22"/>
    <w:rsid w:val="00410976"/>
    <w:rsid w:val="00420521"/>
    <w:rsid w:val="00434966"/>
    <w:rsid w:val="004650BE"/>
    <w:rsid w:val="004C71AD"/>
    <w:rsid w:val="004F4154"/>
    <w:rsid w:val="00541AB6"/>
    <w:rsid w:val="00577C91"/>
    <w:rsid w:val="00587B65"/>
    <w:rsid w:val="005C043A"/>
    <w:rsid w:val="005D4A79"/>
    <w:rsid w:val="00623F54"/>
    <w:rsid w:val="006620D9"/>
    <w:rsid w:val="006729FA"/>
    <w:rsid w:val="00685920"/>
    <w:rsid w:val="00711401"/>
    <w:rsid w:val="00751A6C"/>
    <w:rsid w:val="0076222C"/>
    <w:rsid w:val="00766176"/>
    <w:rsid w:val="007711C5"/>
    <w:rsid w:val="00783656"/>
    <w:rsid w:val="007A1736"/>
    <w:rsid w:val="00811F9D"/>
    <w:rsid w:val="00853268"/>
    <w:rsid w:val="00855AB3"/>
    <w:rsid w:val="008651BE"/>
    <w:rsid w:val="00945F51"/>
    <w:rsid w:val="009A0077"/>
    <w:rsid w:val="00A55F9F"/>
    <w:rsid w:val="00A575BA"/>
    <w:rsid w:val="00A6056E"/>
    <w:rsid w:val="00AB4D92"/>
    <w:rsid w:val="00AC17DB"/>
    <w:rsid w:val="00B26A34"/>
    <w:rsid w:val="00B27F6B"/>
    <w:rsid w:val="00B53CFD"/>
    <w:rsid w:val="00B62D8B"/>
    <w:rsid w:val="00BD2CF7"/>
    <w:rsid w:val="00C17780"/>
    <w:rsid w:val="00C85CAB"/>
    <w:rsid w:val="00CB5F42"/>
    <w:rsid w:val="00CC3CE2"/>
    <w:rsid w:val="00CE5FDF"/>
    <w:rsid w:val="00CE6F71"/>
    <w:rsid w:val="00D1676F"/>
    <w:rsid w:val="00D2006B"/>
    <w:rsid w:val="00D75B51"/>
    <w:rsid w:val="00DD3169"/>
    <w:rsid w:val="00DF20A0"/>
    <w:rsid w:val="00E344AF"/>
    <w:rsid w:val="00E9396C"/>
    <w:rsid w:val="00E96107"/>
    <w:rsid w:val="00EC6E4B"/>
    <w:rsid w:val="00EC6EB8"/>
    <w:rsid w:val="00ED484E"/>
    <w:rsid w:val="00F0761F"/>
    <w:rsid w:val="00F51199"/>
    <w:rsid w:val="00F83F1F"/>
    <w:rsid w:val="00FD0878"/>
    <w:rsid w:val="025635A7"/>
    <w:rsid w:val="07FE0562"/>
    <w:rsid w:val="08922E52"/>
    <w:rsid w:val="098B3C7E"/>
    <w:rsid w:val="0E4B3288"/>
    <w:rsid w:val="0ED13ACF"/>
    <w:rsid w:val="10D35562"/>
    <w:rsid w:val="10F17C6E"/>
    <w:rsid w:val="14BD5B21"/>
    <w:rsid w:val="20AB7937"/>
    <w:rsid w:val="22A80A60"/>
    <w:rsid w:val="23264ED0"/>
    <w:rsid w:val="28F96F40"/>
    <w:rsid w:val="2C0F47F7"/>
    <w:rsid w:val="2D6719CD"/>
    <w:rsid w:val="36C85921"/>
    <w:rsid w:val="376E6D19"/>
    <w:rsid w:val="388B69F5"/>
    <w:rsid w:val="3AB0703C"/>
    <w:rsid w:val="3ACD3E4B"/>
    <w:rsid w:val="3B2609B2"/>
    <w:rsid w:val="3CE9238A"/>
    <w:rsid w:val="5C5C1EBD"/>
    <w:rsid w:val="61D63CF8"/>
    <w:rsid w:val="62751529"/>
    <w:rsid w:val="633434DB"/>
    <w:rsid w:val="69F229C9"/>
    <w:rsid w:val="6FFD66A8"/>
    <w:rsid w:val="71F56C42"/>
    <w:rsid w:val="75D5438C"/>
    <w:rsid w:val="76B94DFD"/>
    <w:rsid w:val="7A0F45C2"/>
    <w:rsid w:val="7B587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qFormat/>
    <w:locked/>
    <w:uiPriority w:val="99"/>
    <w:rPr>
      <w:sz w:val="18"/>
    </w:rPr>
  </w:style>
  <w:style w:type="character" w:customStyle="1" w:styleId="7">
    <w:name w:val="Footer Char1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520</Words>
  <Characters>2969</Characters>
  <Lines>24</Lines>
  <Paragraphs>6</Paragraphs>
  <TotalTime>31</TotalTime>
  <ScaleCrop>false</ScaleCrop>
  <LinksUpToDate>false</LinksUpToDate>
  <CharactersWithSpaces>3483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2019-05-09T07:49:00Z</dcterms:created>
  <dc:creator>HP</dc:creator>
  <cp:lastModifiedBy>Administrator</cp:lastModifiedBy>
  <dcterms:modified xsi:type="dcterms:W3CDTF">2021-06-15T02:35:06Z</dcterms:modified>
  <dc:title>ＸＸ厅（局）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