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26" w:lineRule="atLeast"/>
        <w:jc w:val="center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highlight w:val="none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highlight w:val="none"/>
          <w:shd w:val="clear" w:color="auto" w:fill="FFFFFF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highlight w:val="none"/>
          <w:shd w:val="clear" w:color="auto" w:fill="FFFFFF"/>
        </w:rPr>
        <w:t>年财政预算编制说明</w:t>
      </w:r>
    </w:p>
    <w:p>
      <w:pPr>
        <w:pStyle w:val="2"/>
        <w:widowControl/>
        <w:shd w:val="clear" w:color="auto" w:fill="FFFFFF"/>
        <w:wordWrap w:val="0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一、20</w:t>
      </w: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年财政收支预算情况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（一）全区一般公共预算收入预算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年一般公共财政预算收入按增长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%编列，预期目标为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64570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年一般公共财政预算收入结构：增值税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11179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万元，企业所得税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2806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万元，个人所得税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444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万元，资源税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444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万元，城市维护建设税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1518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万元，房产税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2625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万元，印花税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1243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万元，城镇土地使用税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8589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万元，土地增值税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15501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万元，车船税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231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万元，耕地占用税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10990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专项收入8万元，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行政事业性收费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385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万元，罚没收入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2077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万元，国有资源（资产）有偿使用收入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2792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万元，捐赠收入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其他收入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3718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（二）全区公共财政预算支出预算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年，区级公共财政预算收入为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64570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万元，加上增值税税收返还收入、一般性转移支付收入、调入预算稳定调节基金资金合计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61006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万元，减去上解支出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7730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万元（上解扣除五镇移交补助收入后），区级当年财力为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117846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万元；再加上年专项结余资金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226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万元和当年专项转移支付收入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2008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万元，区级收入为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120080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万元。区本级公共财政预算支出总额为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120080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万元（含乡镇支出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16258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万元）。主要支出项目：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hint="eastAsia" w:ascii="宋体" w:hAnsi="宋体" w:eastAsia="仿宋_GB2312" w:cs="宋体"/>
          <w:color w:val="auto"/>
          <w:sz w:val="18"/>
          <w:szCs w:val="18"/>
          <w:highlight w:val="none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●一般公共服务支出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20690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增长21.3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增长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新增国药控股、申泰、中科企业扶持资金，信访稳定奖励资金，人口普查以及单位人员的增加；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●公共安全支出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1361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增长58.1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增长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新增法庭建设经费、雪亮工程等项目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●教育支出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25803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下降的主要原因：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减少了职高学校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●科学技术支出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3751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38.6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%；下降的主要原因：上级转移支付资金减少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●文化体育与传媒支出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19.2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%，下降的主要原因：上级转移支付资金减少；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●社会保障和就业支出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16270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4.7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卫生健康指出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16670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10.8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●节能环保支出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5772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38.5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的主要原因：上级转移支付资金减少；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auto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●城乡社区支出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7738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下降19.3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下降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的主要原因：乡镇对城乡基础设施投入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减少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20" w:firstLineChars="200"/>
        <w:jc w:val="both"/>
        <w:rPr>
          <w:rFonts w:ascii="宋体" w:hAnsi="宋体" w:eastAsia="宋体" w:cs="宋体"/>
          <w:color w:val="auto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●农林水支出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10132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增长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4.7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%；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auto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●交通运输支出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4026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增长83.5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增长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的主要原因：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新增X029府金线改建工程、X010掘丁路改建工程等项目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●资源勘探信息等支出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332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97.7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的主要原因：注册资本金资金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产业发展资金项目的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减少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●商业服务业等支出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80.7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%；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的主要原因：上级转移支付资金减少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自然资源海洋气象等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2869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增长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44.2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增长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的主要原因：上级转移支付资金增加；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●住房保障支出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2669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灾害防治及应急管理支出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416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万元；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hint="eastAsia" w:ascii="宋体" w:hAnsi="宋体" w:eastAsia="仿宋_GB2312" w:cs="宋体"/>
          <w:color w:val="000000"/>
          <w:sz w:val="18"/>
          <w:szCs w:val="18"/>
          <w:highlight w:val="none"/>
          <w:lang w:eastAsia="zh-CN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●预备费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918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（二）一般公共预算税收返还和转移支付收支情况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年，上级补助我区税收返还和转移支付收入共计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60139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万元，其中：增值税五五分享税收返还收入7662万元；均衡性转移支付收入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2365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万元，结算补助收入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23036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教育共同财政事权转移支付收入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3341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文化旅游体育与传媒共同财政事权转移支付收入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33万元，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社会保障和就业共同财政事权转移支付收入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8068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医疗卫生共同财政事权转移支付收入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11945万元，节能环保共同财政事权转移支付收入8万元，农林水共同财政事权转移支付收入1673万元，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专项转移支付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2008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安排上级补助我区税收返还和转移支付支出共计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60139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万元，其中：区本级安排支出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44857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万元，安排诸葛镇一般性转移支付资金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4569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万元，安排李村镇一般性转移支付资金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5053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万元，安排庞村镇一般性转移支付资金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2864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万元，安排寇店镇一般性转移支付资金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1165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万元，安排佃庄镇一般性转移支付资金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1631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（三）政府性基金收支预算情况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政府性基金预算收入总计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480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万元，其中：本级政府性基金收入0万元，上级补助收入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480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政府性基金预算支出总计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480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万元，结余0万元。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（四）国有资本经营预算收支预算情况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国有资本经营收入0万元，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国有资本经营支出0万元。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楷体_GB2312" w:hAnsi="宋体" w:eastAsia="楷体_GB2312" w:cs="楷体_GB2312"/>
          <w:color w:val="000000"/>
          <w:sz w:val="31"/>
          <w:szCs w:val="31"/>
          <w:highlight w:val="none"/>
          <w:shd w:val="clear" w:color="auto" w:fill="FFFFFF"/>
        </w:rPr>
        <w:t>（五）社会保险基金预算收支预算情况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社会保险基金预算收入总计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31946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万元，其中：上年结余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19393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万元，机关事业单位养老保险基金收入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4642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万元，城乡居民基本养老保险基金收入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7911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社会保险基金预算支出总计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12291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万元，其中：机关事业单位养老保险基金支出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5400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万元，城乡居民基本养老保险基金支出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6891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万元，结余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19655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二、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2020年一般公共预算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</w:rPr>
        <w:t>“三公”经费预算</w:t>
      </w:r>
      <w:r>
        <w:rPr>
          <w:rFonts w:hint="eastAsia" w:ascii="黑体" w:hAnsi="黑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安排情况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ascii="宋体" w:hAnsi="宋体" w:eastAsia="宋体" w:cs="宋体"/>
          <w:color w:val="0000FF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一般公共预算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“三公”经费预算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安排支出38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年“三公”经费预算数为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下降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17.4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“三公”经费预算支出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具体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情况如下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因公出国（境）费用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预算0万元，同比增长0%。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公务接待费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预算19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29.6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下降的主要原因：厉行节俭，压缩“三公”经费预算支出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5"/>
        <w:jc w:val="both"/>
        <w:textAlignment w:val="auto"/>
        <w:rPr>
          <w:rFonts w:hint="eastAsia" w:ascii="宋体" w:hAnsi="宋体" w:eastAsia="仿宋_GB2312" w:cs="宋体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公务用车运行维护费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val="en-US" w:eastAsia="zh-CN"/>
        </w:rPr>
        <w:t>预算19</w:t>
      </w:r>
      <w:r>
        <w:rPr>
          <w:rFonts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highlight w:val="none"/>
          <w:shd w:val="clear" w:color="auto" w:fill="FFFFFF"/>
          <w:lang w:eastAsia="zh-CN"/>
        </w:rPr>
        <w:t>与上年度持平。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585" w:lineRule="atLeast"/>
        <w:ind w:firstLine="645"/>
        <w:jc w:val="both"/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举借政府债务情况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5" w:lineRule="atLeast"/>
        <w:ind w:firstLine="620" w:firstLineChars="200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政府一般债务限额700万元，20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年政府一般债务余额0万元；20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eastAsia="zh-CN"/>
        </w:rPr>
        <w:t>伊滨经开区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政府专项债务限额0万元，20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年政府专项债务余额0万元。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四、机关运行经费支出情况说明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年度机关运行经费支出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43307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年度机关运行经费预算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45644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万元，较20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19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年度增加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2337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5.4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%。其中工资福利支出为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41112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万元，同比增加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1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09.4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增加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的主要原因是：人员的增多。商品服务支出为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3696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增加24.2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增长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的主要原因是：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2019年有四个单位下划支出增加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。对个人和家庭补助为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836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万元，同比减少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69.6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%，减少的主要原因为：上级转移支付资金减少。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none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ascii="黑体" w:hAnsi="宋体" w:eastAsia="黑体" w:cs="黑体"/>
          <w:color w:val="000000"/>
          <w:sz w:val="31"/>
          <w:szCs w:val="31"/>
          <w:highlight w:val="none"/>
          <w:shd w:val="clear" w:color="auto" w:fill="FFFFFF"/>
        </w:rPr>
        <w:t>、公务用车保有量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  <w:highlight w:val="lightGray"/>
        </w:rPr>
      </w:pP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20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年，我区财政拨款部门公务用车保有量共计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  <w:lang w:val="en-US" w:eastAsia="zh-CN"/>
        </w:rPr>
        <w:t>33</w:t>
      </w:r>
      <w:r>
        <w:rPr>
          <w:rFonts w:ascii="仿宋_GB2312" w:hAnsi="宋体" w:eastAsia="仿宋_GB2312" w:cs="仿宋_GB2312"/>
          <w:color w:val="000000"/>
          <w:sz w:val="31"/>
          <w:szCs w:val="31"/>
          <w:highlight w:val="none"/>
          <w:shd w:val="clear" w:color="auto" w:fill="FFFFFF"/>
        </w:rPr>
        <w:t>辆。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七、名词解释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1.预算：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指遵循统筹兼顾、勤俭节约、量力而行、讲求绩效和收支平衡的原则编制，经法定程序审核批准的国家年度集中性财政收支计划。政府的全部收入和支出都应当纳入预算，地方各级预算一般不列赤字。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2.部门预算：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与财政部门直接发生预算缴、拨款关系的国家机关、社会团体和其他单位，依据国家有关法律、法规规定及其履行职能的需要编制的本部门年度收支计划。部门预算的实施，严格了预算管理，较上年增加了政府工作的透明度，是防止腐败的重要手段和预防措施之一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3.一般公共预算：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对以税收为主体的财政收入，安排用于保障和改善民生、推动经济社会发展、维护国家安全、维持国家机构正常运转等方面的收支预算。此次《预算法》修订，将传统的一般预算、公共财政预算等概念统一为一般公共预算。</w:t>
      </w:r>
    </w:p>
    <w:p>
      <w:pPr>
        <w:pStyle w:val="2"/>
        <w:widowControl/>
        <w:shd w:val="clear" w:color="auto" w:fill="FFFFFF"/>
        <w:spacing w:beforeAutospacing="0" w:after="225" w:afterAutospacing="0" w:line="600" w:lineRule="atLeast"/>
        <w:ind w:firstLine="615"/>
        <w:jc w:val="both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4.政府性基金预算：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对依照法律、行政法规的规定在一定期限内向特定对象征收、收取或者以其他方式筹集的资金，专项用于特定公共事业发展的收支预算。</w:t>
      </w:r>
    </w:p>
    <w:p>
      <w:pPr>
        <w:pStyle w:val="2"/>
        <w:widowControl/>
        <w:shd w:val="clear" w:color="auto" w:fill="FFFFFF"/>
        <w:spacing w:beforeAutospacing="0" w:after="225" w:afterAutospacing="0" w:line="600" w:lineRule="atLeast"/>
        <w:ind w:firstLine="615"/>
        <w:jc w:val="both"/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5.</w:t>
      </w: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国有资本经营预算：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指对国有资本收益作出支出安排的收支预算。国有资本经营预算应当按照收支平衡的原则编制，不列赤字，并安排资金调入一般公共预算。</w:t>
      </w:r>
    </w:p>
    <w:p>
      <w:pPr>
        <w:pStyle w:val="2"/>
        <w:widowControl/>
        <w:shd w:val="clear" w:color="auto" w:fill="FFFFFF"/>
        <w:spacing w:beforeAutospacing="0" w:after="225" w:afterAutospacing="0" w:line="600" w:lineRule="atLeast"/>
        <w:ind w:firstLine="615"/>
        <w:jc w:val="both"/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6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</w:t>
      </w: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社会保险基金预算：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指社会保险经办机构根据社会保险制度的实施计划和任务编制的、经规定程序审批的年度基金财务收支计划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7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.“三公</w:t>
      </w:r>
      <w:r>
        <w:rPr>
          <w:rStyle w:val="5"/>
          <w:rFonts w:ascii="微软雅黑" w:hAnsi="微软雅黑" w:eastAsia="微软雅黑" w:cs="微软雅黑"/>
          <w:color w:val="000000"/>
          <w:sz w:val="31"/>
          <w:szCs w:val="31"/>
          <w:shd w:val="clear" w:color="auto" w:fill="FFFFFF"/>
        </w:rPr>
        <w:t>”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经费：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费及租用费、燃料费、维修费、过路过桥费、保险费、安全奖励费用等支出；公务接待费反映单位按规定开支的各类公务接待支出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8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.预算稳定调节基金：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财政通过超收收入和支出预算结余安排的具有储备性质的基金，视预算平衡情况，在安排下年度预算时调入并安排使用，或用于弥补短收年份预算执行的收支缺口。预算稳定调节基金的安排使用接受本级人大及其常委会监督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9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.财政存量资金：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是指收入已经发生、尚未安排预算，或者预算已经安排、尚未形成实际支出的财政资金。也就是各级财政部门和预算单位在年末还没花完的钱，或是没花出去的钱。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10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.一般性转移支付：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上级政府为均衡地区间基本财力，根据下级政府的组织财政收入能力、必要支出需求、各地自然经济和社会条件差异等因素，按照基本标准和计算方法测算，将其无偿转作下级政府收入来源，并由下级政府统筹安排使用的转移支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11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.专项转移支付：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指上级政府对承担委托事务、共同事务的下级政府，给予的用于办理特定事项的转移支付。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12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.中央返还：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中央财政为保障消费税、增值税、企业所得税、成品油价格和税费等改革后地方的既得利益给予的税收返还。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13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.上解支出：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指下级政府按照有关法律法规及财政体制规定，按照一定标准和计算方法测算，上交上级政府，并由上级政府统筹安排的资金。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14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.债务转贷收入：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指本级政府财政收到上级政府财政转贷的债务收入。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15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.调入、调出资金：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政府为平衡预算收支、从某类资金向其他类型预算运用调入、调出方式进行资金调拨，而直接用于平衡年度预算的其他资金。公共财政预算可从基金预算、国有资本经营预算及其他资金调入；基金预算可从其他资金调入。被调方作调出资金处理。调入、调出两方匹配对应。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1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16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.地方政府性债务：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是指地方政府及其职能部门（机构）、有财政经常性拨款的事业单位等直接借入、拖欠或依据合同提供担保形成的债务，以及地方政府及其职能部门（机构）成立的公司为进行基础性、公益性建设，以政府信用直接借入或依法提供担保形成的债务。包括地方政府负有偿还责任的债务、负有担保责任的债务及可能承担一定救助责任的债务。其中，地方政府负有偿还责任的债务称为地方政府债务。</w:t>
      </w:r>
    </w:p>
    <w:p>
      <w:pPr>
        <w:pStyle w:val="2"/>
        <w:widowControl/>
        <w:shd w:val="clear" w:color="auto" w:fill="FFFFFF"/>
        <w:spacing w:beforeAutospacing="0" w:afterAutospacing="0" w:line="26" w:lineRule="atLeast"/>
        <w:ind w:firstLine="615"/>
        <w:jc w:val="both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Style w:val="5"/>
          <w:rFonts w:hint="eastAsia" w:ascii="仿宋_GB2312" w:hAnsi="宋体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17</w:t>
      </w:r>
      <w:r>
        <w:rPr>
          <w:rStyle w:val="5"/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.增值税留抵退税：</w:t>
      </w:r>
      <w:r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  <w:t>指对现在还不能抵扣、留着将来才能抵扣的“进项”增值税，予以提前退还。退还部分行业增值税留抵退税，是深化增值税改革的重大举措，也是今年减税政策的重要内容。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4F9D7"/>
    <w:multiLevelType w:val="singleLevel"/>
    <w:tmpl w:val="4314F9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409D"/>
    <w:rsid w:val="00075015"/>
    <w:rsid w:val="000F144E"/>
    <w:rsid w:val="000F53FF"/>
    <w:rsid w:val="0012458E"/>
    <w:rsid w:val="00126DA8"/>
    <w:rsid w:val="00176DF2"/>
    <w:rsid w:val="001D3D94"/>
    <w:rsid w:val="001E042F"/>
    <w:rsid w:val="001F409D"/>
    <w:rsid w:val="002017F0"/>
    <w:rsid w:val="00251755"/>
    <w:rsid w:val="002D0D8B"/>
    <w:rsid w:val="002D0EF0"/>
    <w:rsid w:val="00301402"/>
    <w:rsid w:val="003451E7"/>
    <w:rsid w:val="00380D59"/>
    <w:rsid w:val="003B4419"/>
    <w:rsid w:val="004867BC"/>
    <w:rsid w:val="00486FDF"/>
    <w:rsid w:val="004A0773"/>
    <w:rsid w:val="005F2906"/>
    <w:rsid w:val="00610CB9"/>
    <w:rsid w:val="006E3040"/>
    <w:rsid w:val="00732B3F"/>
    <w:rsid w:val="007A5F5D"/>
    <w:rsid w:val="007D2D62"/>
    <w:rsid w:val="00835260"/>
    <w:rsid w:val="00935CA2"/>
    <w:rsid w:val="009D0834"/>
    <w:rsid w:val="00A1649B"/>
    <w:rsid w:val="00AD55E9"/>
    <w:rsid w:val="00B205EC"/>
    <w:rsid w:val="00B82377"/>
    <w:rsid w:val="00BA5F30"/>
    <w:rsid w:val="00CA20C1"/>
    <w:rsid w:val="00CF30BA"/>
    <w:rsid w:val="00DE33B4"/>
    <w:rsid w:val="00E26718"/>
    <w:rsid w:val="00E33AFE"/>
    <w:rsid w:val="00E40DDD"/>
    <w:rsid w:val="00EA056D"/>
    <w:rsid w:val="00EF4B85"/>
    <w:rsid w:val="00F42767"/>
    <w:rsid w:val="00FB0F5F"/>
    <w:rsid w:val="08AB31D9"/>
    <w:rsid w:val="094A49CD"/>
    <w:rsid w:val="0C987DDE"/>
    <w:rsid w:val="0E6D5623"/>
    <w:rsid w:val="126447AE"/>
    <w:rsid w:val="167B7A21"/>
    <w:rsid w:val="169C6821"/>
    <w:rsid w:val="19E50DC8"/>
    <w:rsid w:val="1DDB613D"/>
    <w:rsid w:val="21344990"/>
    <w:rsid w:val="22220E11"/>
    <w:rsid w:val="25DA38A9"/>
    <w:rsid w:val="2B3411E1"/>
    <w:rsid w:val="329E4633"/>
    <w:rsid w:val="32C7588C"/>
    <w:rsid w:val="34250E92"/>
    <w:rsid w:val="38C04FE1"/>
    <w:rsid w:val="3E895171"/>
    <w:rsid w:val="3F9B2C23"/>
    <w:rsid w:val="407E4B5D"/>
    <w:rsid w:val="4188084D"/>
    <w:rsid w:val="46CA3EBC"/>
    <w:rsid w:val="56637B1C"/>
    <w:rsid w:val="5C8F24DA"/>
    <w:rsid w:val="5DD81511"/>
    <w:rsid w:val="61E30CA8"/>
    <w:rsid w:val="66E17280"/>
    <w:rsid w:val="68EC7D4A"/>
    <w:rsid w:val="6BC9008A"/>
    <w:rsid w:val="6E4D7B1F"/>
    <w:rsid w:val="70E92370"/>
    <w:rsid w:val="712D013B"/>
    <w:rsid w:val="74A5238C"/>
    <w:rsid w:val="75132112"/>
    <w:rsid w:val="78B046D9"/>
    <w:rsid w:val="7DA0225E"/>
    <w:rsid w:val="7F5F6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623</Words>
  <Characters>3552</Characters>
  <Lines>29</Lines>
  <Paragraphs>8</Paragraphs>
  <TotalTime>2</TotalTime>
  <ScaleCrop>false</ScaleCrop>
  <LinksUpToDate>false</LinksUpToDate>
  <CharactersWithSpaces>4167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2019-05-21T02:21:00Z</cp:lastPrinted>
  <dcterms:modified xsi:type="dcterms:W3CDTF">2021-06-12T10:59:11Z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ADF4A72EAC94482DAD9B7C59CF6D4AAA</vt:lpwstr>
  </property>
</Properties>
</file>