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 w:val="0"/>
        <w:spacing w:beforeAutospacing="0" w:afterAutospacing="0" w:line="26" w:lineRule="atLeast"/>
        <w:jc w:val="center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color w:val="000000"/>
          <w:sz w:val="43"/>
          <w:szCs w:val="43"/>
          <w:shd w:val="clear" w:color="auto" w:fill="FFFFFF"/>
        </w:rPr>
        <w:t>201</w:t>
      </w:r>
      <w:r>
        <w:rPr>
          <w:rFonts w:hint="eastAsia" w:ascii="方正小标宋简体" w:hAnsi="方正小标宋简体" w:eastAsia="方正小标宋简体" w:cs="方正小标宋简体"/>
          <w:color w:val="000000"/>
          <w:sz w:val="43"/>
          <w:szCs w:val="43"/>
          <w:shd w:val="clear" w:color="auto" w:fill="FFFFFF"/>
        </w:rPr>
        <w:t>9</w:t>
      </w:r>
      <w:r>
        <w:rPr>
          <w:rFonts w:ascii="方正小标宋简体" w:hAnsi="方正小标宋简体" w:eastAsia="方正小标宋简体" w:cs="方正小标宋简体"/>
          <w:color w:val="000000"/>
          <w:sz w:val="43"/>
          <w:szCs w:val="43"/>
          <w:shd w:val="clear" w:color="auto" w:fill="FFFFFF"/>
        </w:rPr>
        <w:t>年财政预算编制说明</w:t>
      </w:r>
    </w:p>
    <w:p>
      <w:pPr>
        <w:pStyle w:val="2"/>
        <w:widowControl/>
        <w:shd w:val="clear" w:color="auto" w:fill="FFFFFF"/>
        <w:wordWrap w:val="0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黑体" w:hAnsi="宋体" w:eastAsia="黑体" w:cs="黑体"/>
          <w:color w:val="000000"/>
          <w:sz w:val="31"/>
          <w:szCs w:val="31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黑体" w:hAnsi="宋体" w:eastAsia="黑体" w:cs="黑体"/>
          <w:color w:val="000000"/>
          <w:sz w:val="31"/>
          <w:szCs w:val="31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color="auto" w:fill="FFFFFF"/>
        </w:rPr>
        <w:t>一、2019年财政收支预算情况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楷体_GB2312" w:hAnsi="宋体" w:eastAsia="楷体_GB2312" w:cs="楷体_GB2312"/>
          <w:color w:val="000000"/>
          <w:sz w:val="31"/>
          <w:szCs w:val="31"/>
          <w:shd w:val="clear" w:color="auto" w:fill="FFFFFF"/>
        </w:rPr>
        <w:t>（一）全区一般公共预算收入预算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年一般公共财政预算收入按增长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16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%编列，预期目标为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50000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万元。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年一般公共财政预算收入结构：增值税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9370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万元，企业所得税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1385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万元，个人所得税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506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万元，资源税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133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万元，城市维护建设税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1440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万元，房产税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2581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万元，印花税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987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万元，城镇土地使用税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9860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万元，土地增值税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5014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万元，车船税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34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万元，耕地占用税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8690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万元，行政事业性收费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800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万元，罚没收入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1100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万元，国有资源（资产）有偿使用收入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4800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万元，捐赠收入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60万元，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其他收入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3240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万元。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楷体_GB2312" w:hAnsi="宋体" w:eastAsia="楷体_GB2312" w:cs="楷体_GB2312"/>
          <w:color w:val="000000"/>
          <w:sz w:val="31"/>
          <w:szCs w:val="31"/>
          <w:shd w:val="clear" w:color="auto" w:fill="FFFFFF"/>
        </w:rPr>
        <w:t>（二）全区公共财政预算支出预算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年，区级公共财政预算收入为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50000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万元，加上增值税税收返还收入、一般性转移支付收入、调入预算稳定调节基金资金合计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50066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万元，减去上解支出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6101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万元（上解扣除五镇移交补助收入后），区级当年财力为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93965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万元；再加上年专项结余资金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3355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万元和当年专项转移支付收入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2596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万元，区级收入为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99916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万元。区本级公共财政预算支出总额为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99916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万元（含乡镇支出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12684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万元）。主要支出项目：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●一般公共服务支出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17530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下降5.1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下降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的主要原因：压减一般性支出；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●公共安全支出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570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万元，下降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40.6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%，下降的主要原因：压减一般性支出；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●教育支出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26689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下降0.3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●科学技术支出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32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下降99.2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%；下降的主要原因：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2018年拨付资金3000万元用于中信重工科技奖励2019年无此项目；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●文化体育与传媒支出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375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万元，下降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11.6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%，下降的主要原因：上级转移支付资金减少；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●社会保障和就业支出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13523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万元，增长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0.8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%，增长的主要原因：上级转移支付资金增加；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●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卫生健康指出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15865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下降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1%，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下降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的主要原因：上级转移支付资金减少；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●节能环保支出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1585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下降37.5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%；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下降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的主要原因：上级转移支付资金减少；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●城乡社区支出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5639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万元，增长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44.5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%，增长的主要原因：乡镇对城乡基础设施投入增加；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●农林水支出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5826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下降14.7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下降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的主要原因：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上级转移支付资金减少；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●交通运输支出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894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万元，下降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.5%，下降的主要原因：上级转移支付资金减少；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●资源勘探信息等支出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1565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下降40.7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下降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的主要原因：注册资本金资金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减少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●商业服务业等支出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97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万元，下降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52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%；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下降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的主要原因：政府功能分类科目变更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●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自然资源海洋气象等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1345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增长332.5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增长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的主要原因：新增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农村房屋不动产登记、第三次土地调查项目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●住房保障支出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2183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●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灾害防治及应急管理支出362万元；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●预备费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750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●年初预留支出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5086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楷体_GB2312" w:hAnsi="宋体" w:eastAsia="楷体_GB2312" w:cs="楷体_GB2312"/>
          <w:color w:val="000000"/>
          <w:sz w:val="31"/>
          <w:szCs w:val="31"/>
          <w:shd w:val="clear" w:color="auto" w:fill="FFFFFF"/>
        </w:rPr>
        <w:t>（二）一般公共预算税收返还和转移支付收支情况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yellow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年，上级补助我区税收返还和转移支付收入共计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 xml:space="preserve">   52354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万元，其中：增值税五五分享税收返还收入7662万元；均衡性转移支付收入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1482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万元，结算补助收入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21332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万元，基本养老金转移支付收入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4735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万元，城乡居民医疗保险转移支付收入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9030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固定数额补助收入1万元；教育共同财政事权转移支付收入2266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万元；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社会保障和就业共同财政事权转移支付收入1544万元；卫生健康共同财政事权转移支付收入1706万元；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专项转移支付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2596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万元。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伊滨经开区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安排上级补助我区税收返还和转移支付支出共计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52354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万元，其中：区本级安排支出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47276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万元，安排诸葛镇一般性转移支付资金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1621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万元，安排李村镇一般性转移支付资金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1299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万元，安排庞村镇一般性转移支付资金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1168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万元，安排寇店镇一般性转移支付资金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561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万元，安排佃庄镇一般性转移支付资金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429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楷体_GB2312" w:hAnsi="宋体" w:eastAsia="楷体_GB2312" w:cs="楷体_GB2312"/>
          <w:color w:val="000000"/>
          <w:sz w:val="31"/>
          <w:szCs w:val="31"/>
          <w:shd w:val="clear" w:color="auto" w:fill="FFFFFF"/>
        </w:rPr>
        <w:t>（三）政府性基金收支预算情况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年，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伊滨经开区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政府性基金预算收入总计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1058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万元，其中：本级政府性基金收入0万元，上级补助收入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 xml:space="preserve">    1058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万元。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伊滨经开区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政府性基金预算支出总计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1058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万元，结余0万元。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楷体_GB2312" w:hAnsi="宋体" w:eastAsia="楷体_GB2312" w:cs="楷体_GB2312"/>
          <w:color w:val="000000"/>
          <w:sz w:val="31"/>
          <w:szCs w:val="31"/>
          <w:shd w:val="clear" w:color="auto" w:fill="FFFFFF"/>
        </w:rPr>
        <w:t>（四）国有资本经营预算收支预算情况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伊滨经开区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国有资本经营收入0万元，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伊滨经开区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国有资本经营支出0万元。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楷体_GB2312" w:hAnsi="宋体" w:eastAsia="楷体_GB2312" w:cs="楷体_GB2312"/>
          <w:color w:val="000000"/>
          <w:sz w:val="31"/>
          <w:szCs w:val="31"/>
          <w:shd w:val="clear" w:color="auto" w:fill="FFFFFF"/>
        </w:rPr>
        <w:t>（五）社会保险基金预算收支预算情况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伊滨经开区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社会保险基金预算收入总计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 xml:space="preserve">   25860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万元，其中：上年结余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20528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万元，机关事业单位养老保险基金收入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3368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万元，城乡居民基本养老保险基金收入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 xml:space="preserve">   1964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伊滨经开区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社会保险基金预算支出总计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 xml:space="preserve">   10129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万元，其中：机关事业单位养老保险基金支出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5065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万元，城乡居民基本养老保险基金支出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5064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万元，结余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15731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color="auto" w:fill="FFFFFF"/>
        </w:rPr>
        <w:t>二、</w:t>
      </w:r>
      <w:r>
        <w:rPr>
          <w:rFonts w:hint="eastAsia" w:ascii="黑体" w:hAnsi="黑体" w:eastAsia="黑体" w:cs="黑体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2019年一般公共预算</w:t>
      </w:r>
      <w:r>
        <w:rPr>
          <w:rFonts w:hint="eastAsia" w:ascii="黑体" w:hAnsi="黑体" w:eastAsia="黑体" w:cs="黑体"/>
          <w:color w:val="000000"/>
          <w:sz w:val="31"/>
          <w:szCs w:val="31"/>
          <w:highlight w:val="none"/>
          <w:shd w:val="clear" w:color="auto" w:fill="FFFFFF"/>
        </w:rPr>
        <w:t>“三公”经费预算</w:t>
      </w:r>
      <w:r>
        <w:rPr>
          <w:rFonts w:hint="eastAsia" w:ascii="黑体" w:hAnsi="黑体" w:eastAsia="黑体" w:cs="黑体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安排情况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5"/>
        <w:jc w:val="both"/>
        <w:textAlignment w:val="auto"/>
        <w:rPr>
          <w:rFonts w:ascii="宋体" w:hAnsi="宋体" w:eastAsia="宋体" w:cs="宋体"/>
          <w:color w:val="0000FF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19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一般公共预算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“三公”经费预算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安排支出62.73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 xml:space="preserve"> 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18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年“三公”经费预算数为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162.4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万元，同比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下降61.37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5"/>
        <w:jc w:val="both"/>
        <w:textAlignment w:val="auto"/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“三公”经费预算支出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具体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情况如下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5"/>
        <w:jc w:val="both"/>
        <w:textAlignment w:val="auto"/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因公出国（境）费用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预算0万元，同比增长0%。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5"/>
        <w:jc w:val="both"/>
        <w:textAlignment w:val="auto"/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公务接待费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预算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26.06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万元，同比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下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降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55.83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下降的主要原因：厉行节俭，压缩“三公”经费预算支出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yellow"/>
        </w:rPr>
      </w:pPr>
      <w:r>
        <w:rPr>
          <w:rFonts w:hint="eastAsia"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</w:rPr>
        <w:t>公务用车运行维护费</w:t>
      </w:r>
      <w:r>
        <w:rPr>
          <w:rFonts w:hint="eastAsia"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  <w:lang w:val="en-US" w:eastAsia="zh-CN"/>
        </w:rPr>
        <w:t>预算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36.67</w:t>
      </w:r>
      <w:r>
        <w:rPr>
          <w:rFonts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</w:rPr>
        <w:t>万元，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同比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下降63.64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下降的主要原因：厉行节俭，压缩“三公”经费预算支出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。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color="auto" w:fill="FFFFFF"/>
        </w:rPr>
        <w:t>三、</w:t>
      </w:r>
      <w:r>
        <w:rPr>
          <w:rFonts w:hint="eastAsia" w:ascii="黑体" w:hAnsi="宋体" w:eastAsia="黑体" w:cs="黑体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举借政府债务情况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19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伊滨经开区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政府一般债务限额700万元，20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18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年政府一般债务余额0万元；20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19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伊滨经开区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政府专项债务限额0万元，20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18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年政府专项债务余额0万元。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color="auto" w:fill="FFFFFF"/>
        </w:rPr>
        <w:t>四、机关运行经费支出情况说明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yellow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8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年度机关运行经费支出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38131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万元，201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年度机关运行经费预算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43307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万元，较201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8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年度增加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5176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万元，同比增加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13.57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%。其中工资福利支出为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37582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万元，同比增加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 xml:space="preserve">   116.6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增加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的主要原因是：人员的增多。商品服务支出为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 xml:space="preserve">  2977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万元，同比减少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8.68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%，减少的主要原因是：根据财政部文件精神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，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压减一般性支出。对个人和家庭补助为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2748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万元，同比减少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5.5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%，减少的主要原因为：纳入预算的项目减少。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color="auto" w:fill="FFFFFF"/>
        </w:rPr>
        <w:t>五、政府采购情况说明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年纳入预算的政府采购费用为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7788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万元。纳入财政一般拨款的费用有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3145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万元，其中：公用经费为0万元，项目经费为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3145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万元，占总采购费用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40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%。纳入上级专项经费的有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4643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万元，占总采购费用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60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color="auto" w:fill="FFFFFF"/>
        </w:rPr>
        <w:t>六、公务用车保有量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年，我区财政拨款部门公务用车保有量共计14辆。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color="auto" w:fill="FFFFFF"/>
        </w:rPr>
        <w:t>七、名词解释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1.预算：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指遵循统筹兼顾、勤俭节约、量力而行、讲求绩效和收支平衡的原则编制，经法定程序审核批准的国家年度集中性财政收支计划。政府的全部收入和支出都应当纳入预算，地方各级预算一般不列赤字。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2.部门预算：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指与财政部门直接发生预算缴、拨款关系的国家机关、社会团体和其他单位，依据国家有关法律、法规规定及其履行职能的需要编制的本部门年度收支计划。部门预算的实施，严格了预算管理，较上年增加了政府工作的透明度，是防止腐败的重要手段和预防措施之一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3.一般公共预算：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对以税收为主体的财政收入，安排用于保障和改善民生、推动经济社会发展、维护国家安全、维持国家机构正常运转等方面的收支预算。此次《预算法》修订，将传统的一般预算、公共财政预算等概念统一为一般公共预算。</w:t>
      </w:r>
    </w:p>
    <w:p>
      <w:pPr>
        <w:pStyle w:val="2"/>
        <w:widowControl/>
        <w:shd w:val="clear" w:color="auto" w:fill="FFFFFF"/>
        <w:spacing w:beforeAutospacing="0" w:after="225" w:afterAutospacing="0" w:line="600" w:lineRule="atLeast"/>
        <w:ind w:firstLine="61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4.政府性基金预算：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对依照法律、行政法规的规定在一定期限内向特定对象征收、收取或者以其他方式筹集的资金，专项用于特定公共事业发展的收支预算。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5.“三公</w:t>
      </w:r>
      <w:r>
        <w:rPr>
          <w:rStyle w:val="5"/>
          <w:rFonts w:ascii="微软雅黑" w:hAnsi="微软雅黑" w:eastAsia="微软雅黑" w:cs="微软雅黑"/>
          <w:color w:val="000000"/>
          <w:sz w:val="31"/>
          <w:szCs w:val="31"/>
          <w:shd w:val="clear" w:color="auto" w:fill="FFFFFF"/>
        </w:rPr>
        <w:t>”</w:t>
      </w: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经费：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指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购置费及租用费、燃料费、维修费、过路过桥费、保险费、安全奖励费用等支出；公务接待费反映单位按规定开支的各类公务接待支出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6.预算稳定调节基金：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指财政通过超收收入和支出预算结余安排的具有储备性质的基金，视预算平衡情况，在安排下年度预算时调入并安排使用，或用于弥补短收年份预算执行的收支缺口。预算稳定调节基金的安排使用接受本级人大及其常委会监督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7.财政存量资金：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是指收入已经发生、尚未安排预算，或者预算已经安排、尚未形成实际支出的财政资金。也就是各级财政部门和预算单位在年末还没花完的钱，或是没花出去的钱。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8.一般性转移支付：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指上级政府为均衡地区间基本财力，根据下级政府的组织财政收入能力、必要支出需求、各地自然经济和社会条件差异等因素，按照基本标准和计算方法测算，将其无偿转作下级政府收入来源，并由下级政府统筹安排使用的转移支付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9.专项转移支付：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指上级政府对承担委托事务、共同事务的下级政府，给予的用于办理特定事项的转移支付。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10.中央返还：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中央财政为保障消费税、增值税、企业所得税、成品油价格和税费等改革后地方的既得利益给予的税收返还。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11.上解支出：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指下级政府按照有关法律法规及财政体制规定，按照一定标准和计算方法测算，上交上级政府，并由上级政府统筹安排的资金。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12.债务转贷收入：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指本级政府财政收到上级政府财政转贷的债务收入。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13.调入、调出资金：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是指政府为平衡预算收支、从某类资金向其他类型预算运用调入、调出方式进行资金调拨，而直接用于平衡年度预算的其他资金。公共财政预算可从基金预算、国有资本经营预算及其他资金调入；基金预算可从其他资金调入。被调方作调出资金处理。调入、调出两方匹配对应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1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14.地方政府性债务：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是指地方政府及其职能部门（机构）、有财政经常性拨款的事业单位等直接借入、拖欠或依据合同提供担保形成的债务，以及地方政府及其职能部门（机构）成立的公司为进行基础性、公益性建设，以政府信用直接借入或依法提供担保形成的债务。包括地方政府负有偿还责任的债务、负有担保责任的债务及可能承担一定救助责任的债务。其中，地方政府负有偿还责任的债务称为地方政府债务。</w:t>
      </w:r>
    </w:p>
    <w:p>
      <w:pPr>
        <w:pStyle w:val="2"/>
        <w:widowControl/>
        <w:shd w:val="clear" w:color="auto" w:fill="FFFFFF"/>
        <w:spacing w:beforeAutospacing="0" w:afterAutospacing="0" w:line="26" w:lineRule="atLeast"/>
        <w:ind w:firstLine="61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15.增值税留抵退税：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指对现在还不能抵扣、留着将来才能抵扣的“进项”增值税，予以提前退还。退还部分行业增值税留抵退税，是深化增值税改革的重大举措，也是今年减税政策的重要内容。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F409D"/>
    <w:rsid w:val="00075015"/>
    <w:rsid w:val="000F144E"/>
    <w:rsid w:val="000F53FF"/>
    <w:rsid w:val="0012458E"/>
    <w:rsid w:val="00126DA8"/>
    <w:rsid w:val="00176DF2"/>
    <w:rsid w:val="001D3D94"/>
    <w:rsid w:val="001E042F"/>
    <w:rsid w:val="001F409D"/>
    <w:rsid w:val="002017F0"/>
    <w:rsid w:val="002D0D8B"/>
    <w:rsid w:val="002D0EF0"/>
    <w:rsid w:val="00301402"/>
    <w:rsid w:val="003451E7"/>
    <w:rsid w:val="00380D59"/>
    <w:rsid w:val="003B4419"/>
    <w:rsid w:val="004867BC"/>
    <w:rsid w:val="00486FDF"/>
    <w:rsid w:val="004A0773"/>
    <w:rsid w:val="005F2906"/>
    <w:rsid w:val="00610CB9"/>
    <w:rsid w:val="006E3040"/>
    <w:rsid w:val="00732B3F"/>
    <w:rsid w:val="007A5F5D"/>
    <w:rsid w:val="007D2D62"/>
    <w:rsid w:val="00835260"/>
    <w:rsid w:val="00935CA2"/>
    <w:rsid w:val="009D0834"/>
    <w:rsid w:val="00A1649B"/>
    <w:rsid w:val="00AD55E9"/>
    <w:rsid w:val="00B205EC"/>
    <w:rsid w:val="00B82377"/>
    <w:rsid w:val="00BA5F30"/>
    <w:rsid w:val="00CA20C1"/>
    <w:rsid w:val="00CF30BA"/>
    <w:rsid w:val="00E26718"/>
    <w:rsid w:val="00E33AFE"/>
    <w:rsid w:val="00E40DDD"/>
    <w:rsid w:val="00EA056D"/>
    <w:rsid w:val="00EF4B85"/>
    <w:rsid w:val="00F42767"/>
    <w:rsid w:val="00FB0F5F"/>
    <w:rsid w:val="15F671E5"/>
    <w:rsid w:val="260A57AA"/>
    <w:rsid w:val="35507013"/>
    <w:rsid w:val="407E4B5D"/>
    <w:rsid w:val="5C3D4C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623</Words>
  <Characters>3552</Characters>
  <Lines>29</Lines>
  <Paragraphs>8</Paragraphs>
  <TotalTime>0</TotalTime>
  <ScaleCrop>false</ScaleCrop>
  <LinksUpToDate>false</LinksUpToDate>
  <CharactersWithSpaces>4167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2019-05-21T02:21:00Z</cp:lastPrinted>
  <dcterms:modified xsi:type="dcterms:W3CDTF">2021-06-12T10:50:00Z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9041A096D7004180A4C0F5D13D94054D</vt:lpwstr>
  </property>
</Properties>
</file>